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ascii="黑体" w:hAnsi="黑体" w:eastAsia="黑体"/>
          <w:sz w:val="32"/>
          <w:szCs w:val="32"/>
        </w:rPr>
      </w:pPr>
      <w:r>
        <w:rPr>
          <w:rFonts w:hint="eastAsia" w:ascii="黑体" w:hAnsi="黑体" w:eastAsia="黑体"/>
          <w:sz w:val="32"/>
          <w:szCs w:val="32"/>
        </w:rPr>
        <w:t xml:space="preserve">附件1： </w:t>
      </w:r>
    </w:p>
    <w:p>
      <w:pPr>
        <w:spacing w:line="540" w:lineRule="exact"/>
        <w:rPr>
          <w:rFonts w:ascii="方正小标宋_GBK" w:hAnsi="宋体" w:eastAsia="方正小标宋_GBK"/>
          <w:sz w:val="44"/>
          <w:szCs w:val="44"/>
        </w:rPr>
      </w:pP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2018年度新疆喀什地区英吉沙县农机管理站部门决算</w:t>
      </w: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pPr>
        <w:spacing w:line="540" w:lineRule="exact"/>
        <w:rPr>
          <w:rFonts w:ascii="仿宋_GB2312" w:hAnsi="宋体" w:eastAsia="仿宋_GB2312"/>
          <w:sz w:val="32"/>
          <w:szCs w:val="32"/>
        </w:rPr>
      </w:pPr>
    </w:p>
    <w:p>
      <w:pPr>
        <w:spacing w:line="540" w:lineRule="exact"/>
        <w:jc w:val="center"/>
        <w:rPr>
          <w:rFonts w:ascii="黑体" w:hAnsi="黑体" w:eastAsia="黑体"/>
          <w:bCs/>
          <w:kern w:val="0"/>
          <w:sz w:val="32"/>
          <w:szCs w:val="32"/>
        </w:rPr>
      </w:pPr>
      <w:r>
        <w:rPr>
          <w:rFonts w:hint="eastAsia" w:ascii="黑体" w:hAnsi="黑体" w:eastAsia="黑体"/>
          <w:bCs/>
          <w:kern w:val="0"/>
          <w:sz w:val="32"/>
          <w:szCs w:val="32"/>
        </w:rPr>
        <w:t>目  录</w:t>
      </w:r>
    </w:p>
    <w:p>
      <w:pPr>
        <w:spacing w:line="540" w:lineRule="exact"/>
        <w:rPr>
          <w:rFonts w:ascii="仿宋_GB2312" w:hAnsi="宋体" w:eastAsia="仿宋_GB2312"/>
          <w:b/>
          <w:kern w:val="0"/>
          <w:sz w:val="32"/>
          <w:szCs w:val="32"/>
        </w:rPr>
      </w:pP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 部门单位概况</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机构设置情况</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 部门决算情况说明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（二）一般公共预算收支决算情况说明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40" w:lineRule="exact"/>
        <w:ind w:firstLine="640" w:firstLineChars="200"/>
        <w:rPr>
          <w:rFonts w:ascii="仿宋_GB2312" w:eastAsia="仿宋_GB2312"/>
          <w:sz w:val="32"/>
          <w:szCs w:val="32"/>
        </w:rPr>
      </w:pPr>
      <w:bookmarkStart w:id="0" w:name="OLE_LINK94"/>
      <w:bookmarkStart w:id="1" w:name="OLE_LINK95"/>
      <w:r>
        <w:rPr>
          <w:rFonts w:hint="eastAsia" w:ascii="仿宋_GB2312" w:eastAsia="仿宋_GB2312"/>
          <w:sz w:val="32"/>
          <w:szCs w:val="32"/>
        </w:rPr>
        <w:t>（一）国有资产占用情况说明</w:t>
      </w:r>
      <w:bookmarkEnd w:id="0"/>
      <w:bookmarkEnd w:id="1"/>
    </w:p>
    <w:p>
      <w:pPr>
        <w:spacing w:line="540" w:lineRule="exact"/>
        <w:ind w:firstLine="640" w:firstLineChars="200"/>
        <w:rPr>
          <w:rFonts w:ascii="仿宋_GB2312" w:eastAsia="仿宋_GB2312"/>
          <w:sz w:val="32"/>
          <w:szCs w:val="32"/>
        </w:rPr>
      </w:pPr>
      <w:bookmarkStart w:id="2" w:name="OLE_LINK96"/>
      <w:r>
        <w:rPr>
          <w:rFonts w:hint="eastAsia" w:ascii="仿宋_GB2312" w:eastAsia="仿宋_GB2312"/>
          <w:sz w:val="32"/>
          <w:szCs w:val="32"/>
        </w:rPr>
        <w:t>（二）预算绩效情况的说明</w:t>
      </w:r>
      <w:bookmarkEnd w:id="2"/>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 专业名词解释</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 部</w:t>
      </w:r>
      <w:r>
        <w:rPr>
          <w:rFonts w:hint="eastAsia" w:ascii="黑体" w:hAnsi="黑体" w:eastAsia="黑体"/>
          <w:sz w:val="32"/>
          <w:szCs w:val="32"/>
        </w:rPr>
        <w:t>门决算公开的8张报表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《一般公共预算财政拨款“三公”经费支出决算表》</w:t>
      </w:r>
    </w:p>
    <w:p>
      <w:pPr>
        <w:spacing w:line="540" w:lineRule="exact"/>
        <w:ind w:firstLine="640" w:firstLineChars="200"/>
        <w:rPr>
          <w:rFonts w:ascii="仿宋_GB2312" w:hAnsi="宋体" w:eastAsia="仿宋_GB2312"/>
          <w:sz w:val="32"/>
          <w:szCs w:val="32"/>
        </w:rPr>
      </w:pPr>
      <w:r>
        <w:rPr>
          <w:rFonts w:hint="eastAsia" w:ascii="仿宋_GB2312" w:eastAsia="仿宋_GB2312"/>
          <w:sz w:val="32"/>
          <w:szCs w:val="32"/>
        </w:rPr>
        <w:t>《政府性基金预算财政拨款收入支出决算表》</w:t>
      </w:r>
    </w:p>
    <w:p>
      <w:pPr>
        <w:spacing w:line="540" w:lineRule="exact"/>
        <w:ind w:firstLine="640" w:firstLineChars="200"/>
        <w:rPr>
          <w:rFonts w:ascii="黑体" w:hAnsi="黑体" w:eastAsia="黑体"/>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第一部分 部门单位概况</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spacing w:line="500" w:lineRule="exact"/>
        <w:rPr>
          <w:rFonts w:ascii="黑体" w:hAnsi="黑体" w:eastAsia="黑体" w:cs="宋体"/>
          <w:bCs/>
          <w:kern w:val="0"/>
          <w:sz w:val="32"/>
          <w:szCs w:val="32"/>
        </w:rPr>
      </w:pPr>
      <w:r>
        <w:rPr>
          <w:rFonts w:hint="eastAsia" w:ascii="仿宋_GB2312" w:eastAsia="仿宋_GB2312"/>
          <w:sz w:val="32"/>
          <w:szCs w:val="32"/>
        </w:rPr>
        <w:t xml:space="preserve">    1、贯彻落实有关农业机械化得法律、法规。</w:t>
      </w:r>
      <w:r>
        <w:rPr>
          <w:rFonts w:hint="eastAsia" w:ascii="仿宋_GB2312" w:eastAsia="仿宋_GB2312"/>
          <w:sz w:val="32"/>
          <w:szCs w:val="32"/>
        </w:rPr>
        <w:br w:type="textWrapping"/>
      </w:r>
      <w:r>
        <w:rPr>
          <w:rFonts w:hint="eastAsia" w:ascii="仿宋_GB2312" w:eastAsia="仿宋_GB2312"/>
          <w:sz w:val="32"/>
          <w:szCs w:val="32"/>
        </w:rPr>
        <w:t xml:space="preserve">    2、负责农业机械化管理工作。</w:t>
      </w:r>
      <w:r>
        <w:rPr>
          <w:rFonts w:hint="eastAsia" w:ascii="仿宋_GB2312" w:eastAsia="仿宋_GB2312"/>
          <w:sz w:val="32"/>
          <w:szCs w:val="32"/>
        </w:rPr>
        <w:br w:type="textWrapping"/>
      </w:r>
      <w:r>
        <w:rPr>
          <w:rFonts w:hint="eastAsia" w:ascii="仿宋_GB2312" w:eastAsia="仿宋_GB2312"/>
          <w:sz w:val="32"/>
          <w:szCs w:val="32"/>
        </w:rPr>
        <w:t xml:space="preserve">    3、实施农业机械试验推广，向群众推荐优质适用的农业机械。 </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二、机构设置情况</w:t>
      </w:r>
    </w:p>
    <w:p>
      <w:pPr>
        <w:spacing w:line="540" w:lineRule="exact"/>
        <w:ind w:firstLine="640" w:firstLineChars="200"/>
        <w:rPr>
          <w:rFonts w:ascii="仿宋_GB2312" w:hAnsi="宋体" w:eastAsia="仿宋_GB2312" w:cs="宋体"/>
          <w:kern w:val="0"/>
          <w:sz w:val="32"/>
          <w:szCs w:val="32"/>
        </w:rPr>
      </w:pPr>
      <w:bookmarkStart w:id="3" w:name="OLE_LINK51"/>
      <w:r>
        <w:rPr>
          <w:rFonts w:hint="eastAsia" w:ascii="仿宋_GB2312" w:eastAsia="仿宋_GB2312"/>
          <w:sz w:val="32"/>
          <w:szCs w:val="32"/>
        </w:rPr>
        <w:t>从决算单位构成看，</w:t>
      </w:r>
      <w:r>
        <w:rPr>
          <w:rFonts w:ascii="仿宋_GB2312" w:eastAsia="仿宋_GB2312"/>
          <w:sz w:val="32"/>
          <w:szCs w:val="32"/>
        </w:rPr>
        <w:t>新疆喀什地区英吉沙县农机管理站</w:t>
      </w:r>
      <w:r>
        <w:rPr>
          <w:rFonts w:hint="eastAsia" w:ascii="仿宋_GB2312" w:eastAsia="仿宋_GB2312"/>
          <w:sz w:val="32"/>
          <w:szCs w:val="32"/>
        </w:rPr>
        <w:t>部门决算包括：</w:t>
      </w:r>
      <w:r>
        <w:rPr>
          <w:rFonts w:ascii="仿宋_GB2312" w:eastAsia="仿宋_GB2312"/>
          <w:sz w:val="32"/>
          <w:szCs w:val="32"/>
        </w:rPr>
        <w:t>新疆喀什地区英吉沙县农机管理站</w:t>
      </w:r>
      <w:r>
        <w:rPr>
          <w:rFonts w:hint="eastAsia" w:ascii="仿宋_GB2312" w:eastAsia="仿宋_GB2312"/>
          <w:sz w:val="32"/>
          <w:szCs w:val="32"/>
        </w:rPr>
        <w:t>部门本级决算、所属单位决算等。</w:t>
      </w:r>
    </w:p>
    <w:p>
      <w:pPr>
        <w:spacing w:line="540" w:lineRule="exact"/>
        <w:ind w:firstLine="640" w:firstLineChars="200"/>
        <w:rPr>
          <w:rFonts w:ascii="仿宋_GB2312" w:eastAsia="仿宋_GB2312"/>
          <w:spacing w:val="-6"/>
          <w:sz w:val="32"/>
          <w:szCs w:val="32"/>
        </w:rPr>
      </w:pPr>
      <w:r>
        <w:rPr>
          <w:rFonts w:hint="eastAsia" w:ascii="仿宋_GB2312" w:eastAsia="仿宋_GB2312"/>
          <w:sz w:val="32"/>
          <w:szCs w:val="32"/>
        </w:rPr>
        <w:t>纳入</w:t>
      </w:r>
      <w:r>
        <w:rPr>
          <w:rFonts w:ascii="仿宋_GB2312" w:eastAsia="仿宋_GB2312"/>
          <w:sz w:val="32"/>
          <w:szCs w:val="32"/>
        </w:rPr>
        <w:t>新疆喀什地区英吉沙县农机管理站</w:t>
      </w:r>
      <w:r>
        <w:rPr>
          <w:rFonts w:hint="eastAsia" w:ascii="仿宋_GB2312" w:eastAsia="仿宋_GB2312"/>
          <w:sz w:val="32"/>
          <w:szCs w:val="32"/>
        </w:rPr>
        <w:t>2018年部门决算编制范围的单位名单见下表</w:t>
      </w:r>
      <w:r>
        <w:rPr>
          <w:rFonts w:hint="eastAsia" w:ascii="仿宋_GB2312" w:eastAsia="仿宋_GB2312"/>
          <w:spacing w:val="-6"/>
          <w:sz w:val="32"/>
          <w:szCs w:val="32"/>
        </w:rPr>
        <w:t>：</w:t>
      </w:r>
      <w:bookmarkEnd w:id="3"/>
    </w:p>
    <w:p>
      <w:pPr>
        <w:spacing w:line="540" w:lineRule="exact"/>
        <w:ind w:firstLine="616" w:firstLineChars="200"/>
        <w:rPr>
          <w:rFonts w:ascii="仿宋_GB2312" w:eastAsia="仿宋_GB2312"/>
          <w:spacing w:val="-6"/>
          <w:sz w:val="32"/>
          <w:szCs w:val="32"/>
        </w:rPr>
      </w:pPr>
    </w:p>
    <w:p>
      <w:pPr>
        <w:spacing w:line="540" w:lineRule="exact"/>
        <w:ind w:firstLine="616" w:firstLineChars="200"/>
        <w:rPr>
          <w:rFonts w:ascii="仿宋_GB2312" w:eastAsia="仿宋_GB2312"/>
          <w:spacing w:val="-6"/>
          <w:sz w:val="32"/>
          <w:szCs w:val="32"/>
        </w:rPr>
      </w:pPr>
    </w:p>
    <w:tbl>
      <w:tblPr>
        <w:tblStyle w:val="7"/>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56"/>
        <w:gridCol w:w="3870"/>
        <w:gridCol w:w="2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3056"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序号</w:t>
            </w:r>
          </w:p>
        </w:tc>
        <w:tc>
          <w:tcPr>
            <w:tcW w:w="3870"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单位名称</w:t>
            </w:r>
          </w:p>
        </w:tc>
        <w:tc>
          <w:tcPr>
            <w:tcW w:w="2538" w:type="dxa"/>
            <w:vAlign w:val="center"/>
          </w:tcPr>
          <w:p>
            <w:pPr>
              <w:spacing w:line="500" w:lineRule="exact"/>
              <w:ind w:firstLine="1280" w:firstLineChars="400"/>
              <w:rPr>
                <w:rFonts w:ascii="仿宋_GB2312" w:eastAsia="仿宋_GB2312"/>
                <w:color w:val="000000" w:themeColor="text1"/>
                <w:sz w:val="32"/>
                <w:szCs w:val="32"/>
                <w:highlight w:val="yellow"/>
              </w:rPr>
            </w:pPr>
            <w:r>
              <w:rPr>
                <w:rFonts w:hint="eastAsia" w:ascii="仿宋_GB2312" w:eastAsia="仿宋_GB2312"/>
                <w:color w:val="000000" w:themeColor="text1"/>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6"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000000"/>
                <w:position w:val="-1"/>
                <w:sz w:val="32"/>
                <w:u w:val="none"/>
              </w:rPr>
              <w:t>1</w:t>
            </w:r>
          </w:p>
        </w:tc>
        <w:tc>
          <w:tcPr>
            <w:tcW w:w="3870"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000000"/>
                <w:position w:val="-1"/>
                <w:sz w:val="32"/>
                <w:u w:val="none"/>
              </w:rPr>
              <w:t>新疆喀什地区英吉沙县农机管理站</w:t>
            </w:r>
          </w:p>
        </w:tc>
        <w:tc>
          <w:tcPr>
            <w:tcW w:w="2538" w:type="dxa"/>
            <w:vAlign w:val="center"/>
          </w:tcPr>
          <w:p>
            <w:pPr>
              <w:pageBreakBefore w:val="0"/>
              <w:spacing w:line="500" w:lineRule="exact"/>
              <w:ind w:firstLine="420" w:firstLineChars="200"/>
              <w:jc w:val="left"/>
              <w:textAlignment w:val="auto"/>
            </w:pPr>
          </w:p>
        </w:tc>
      </w:tr>
    </w:tbl>
    <w:p>
      <w:pPr>
        <w:spacing w:line="500" w:lineRule="exact"/>
        <w:rPr>
          <w:rFonts w:ascii="仿宋_GB2312" w:hAnsi="宋体" w:eastAsia="仿宋_GB2312" w:cs="宋体"/>
          <w:kern w:val="0"/>
          <w:sz w:val="32"/>
          <w:szCs w:val="32"/>
        </w:rPr>
      </w:pPr>
    </w:p>
    <w:p>
      <w:pPr>
        <w:spacing w:line="500" w:lineRule="exact"/>
        <w:rPr>
          <w:rFonts w:ascii="仿宋_GB2312" w:hAnsi="宋体" w:eastAsia="仿宋_GB2312" w:cs="宋体"/>
          <w:kern w:val="0"/>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第二部分 部门决算情况说明</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一、部门收支总体情况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（一）部门收入支出决算总体情况说明</w:t>
      </w:r>
    </w:p>
    <w:p>
      <w:pPr>
        <w:spacing w:line="540" w:lineRule="exact"/>
        <w:ind w:firstLine="640" w:firstLineChars="200"/>
        <w:rPr>
          <w:rFonts w:ascii="仿宋_GB2312" w:hAnsi="Calibri" w:eastAsia="仿宋_GB2312"/>
          <w:color w:val="000000" w:themeColor="text1"/>
          <w:sz w:val="32"/>
          <w:szCs w:val="32"/>
          <w:lang w:val="en-GB"/>
        </w:rPr>
      </w:pPr>
      <w:bookmarkStart w:id="4" w:name="OLE_LINK100"/>
      <w:bookmarkStart w:id="5" w:name="OLE_LINK99"/>
      <w:bookmarkStart w:id="6" w:name="OLE_LINK52"/>
      <w:r>
        <w:rPr>
          <w:rFonts w:hint="eastAsia" w:ascii="仿宋_GB2312" w:eastAsia="仿宋_GB2312"/>
          <w:color w:val="000000" w:themeColor="text1"/>
          <w:sz w:val="32"/>
          <w:szCs w:val="32"/>
        </w:rPr>
        <w:t>2018年度收入</w:t>
      </w:r>
      <w:r>
        <w:rPr>
          <w:rFonts w:hint="eastAsia" w:ascii="仿宋_GB2312" w:eastAsia="仿宋_GB2312"/>
          <w:sz w:val="32"/>
          <w:szCs w:val="32"/>
        </w:rPr>
        <w:t>574.65</w:t>
      </w:r>
      <w:r>
        <w:rPr>
          <w:rFonts w:hint="eastAsia" w:ascii="仿宋_GB2312" w:eastAsia="仿宋_GB2312"/>
          <w:color w:val="000000" w:themeColor="text1"/>
          <w:sz w:val="32"/>
          <w:szCs w:val="32"/>
        </w:rPr>
        <w:t>万元</w:t>
      </w:r>
      <w:bookmarkEnd w:id="4"/>
      <w:bookmarkEnd w:id="5"/>
      <w:r>
        <w:rPr>
          <w:rFonts w:hint="eastAsia" w:ascii="仿宋_GB2312" w:eastAsia="仿宋_GB2312"/>
          <w:sz w:val="32"/>
          <w:szCs w:val="32"/>
        </w:rPr>
        <w:t>，与上年相比，减少1,171.21万元，</w:t>
      </w:r>
      <w:r>
        <w:rPr>
          <w:rFonts w:hint="eastAsia" w:ascii="仿宋_GB2312" w:eastAsia="仿宋_GB2312"/>
          <w:sz w:val="32"/>
          <w:szCs w:val="32"/>
          <w:lang w:eastAsia="zh-CN"/>
        </w:rPr>
        <w:t>降低</w:t>
      </w:r>
      <w:r>
        <w:rPr>
          <w:rFonts w:hint="eastAsia" w:ascii="仿宋_GB2312" w:eastAsia="仿宋_GB2312"/>
          <w:sz w:val="32"/>
          <w:szCs w:val="32"/>
        </w:rPr>
        <w:t>67.08%，</w:t>
      </w:r>
      <w:r>
        <w:rPr>
          <w:rFonts w:hint="eastAsia" w:ascii="仿宋_GB2312" w:eastAsia="仿宋_GB2312"/>
          <w:sz w:val="32"/>
          <w:szCs w:val="32"/>
          <w:lang w:val="en-US" w:eastAsia="zh-CN"/>
        </w:rPr>
        <w:t>增减变化</w:t>
      </w:r>
      <w:r>
        <w:rPr>
          <w:rFonts w:hint="eastAsia" w:ascii="仿宋_GB2312" w:eastAsia="仿宋_GB2312"/>
          <w:sz w:val="32"/>
          <w:szCs w:val="32"/>
        </w:rPr>
        <w:t>的主要原因是：</w:t>
      </w:r>
      <w:r>
        <w:rPr>
          <w:rFonts w:hint="eastAsia" w:ascii="仿宋_GB2312" w:eastAsia="仿宋_GB2312"/>
          <w:color w:val="000000" w:themeColor="text1"/>
          <w:sz w:val="32"/>
          <w:szCs w:val="32"/>
        </w:rPr>
        <w:t>1、项目减少；2、机构改革，站所人员划转，相应的资金投入力度减少；</w:t>
      </w:r>
      <w:bookmarkEnd w:id="6"/>
      <w:bookmarkStart w:id="7" w:name="OLE_LINK53"/>
      <w:r>
        <w:rPr>
          <w:rFonts w:hint="eastAsia" w:ascii="仿宋_GB2312" w:eastAsia="仿宋_GB2312"/>
          <w:color w:val="000000" w:themeColor="text1"/>
          <w:sz w:val="32"/>
          <w:szCs w:val="32"/>
        </w:rPr>
        <w:t>支出</w:t>
      </w:r>
      <w:r>
        <w:rPr>
          <w:rFonts w:hint="eastAsia" w:ascii="仿宋_GB2312" w:eastAsia="仿宋_GB2312"/>
          <w:sz w:val="32"/>
          <w:szCs w:val="32"/>
        </w:rPr>
        <w:t>624.68</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，与上年相比，减少1,108.57万元，</w:t>
      </w:r>
      <w:r>
        <w:rPr>
          <w:rFonts w:hint="eastAsia" w:ascii="仿宋_GB2312" w:eastAsia="仿宋_GB2312"/>
          <w:sz w:val="32"/>
          <w:szCs w:val="32"/>
          <w:lang w:eastAsia="zh-CN"/>
        </w:rPr>
        <w:t>降低</w:t>
      </w:r>
      <w:r>
        <w:rPr>
          <w:rFonts w:hint="eastAsia" w:ascii="仿宋_GB2312" w:eastAsia="仿宋_GB2312"/>
          <w:sz w:val="32"/>
          <w:szCs w:val="32"/>
        </w:rPr>
        <w:t>63.96%，</w:t>
      </w:r>
      <w:r>
        <w:rPr>
          <w:rFonts w:hint="eastAsia" w:ascii="仿宋_GB2312" w:eastAsia="仿宋_GB2312"/>
          <w:sz w:val="32"/>
          <w:szCs w:val="32"/>
          <w:lang w:val="en-US" w:eastAsia="zh-CN"/>
        </w:rPr>
        <w:t>增减变化</w:t>
      </w:r>
      <w:r>
        <w:rPr>
          <w:rFonts w:hint="eastAsia" w:ascii="仿宋_GB2312" w:eastAsia="仿宋_GB2312"/>
          <w:sz w:val="32"/>
          <w:szCs w:val="32"/>
        </w:rPr>
        <w:t>的主要原因是：</w:t>
      </w:r>
      <w:r>
        <w:rPr>
          <w:rFonts w:hint="eastAsia" w:ascii="仿宋_GB2312" w:eastAsia="仿宋_GB2312"/>
          <w:color w:val="000000" w:themeColor="text1"/>
          <w:sz w:val="32"/>
          <w:szCs w:val="32"/>
        </w:rPr>
        <w:t>1、机构改革，站所人员划转，相应的资金投入力度减少；</w:t>
      </w:r>
      <w:bookmarkEnd w:id="7"/>
      <w:bookmarkStart w:id="8" w:name="OLE_LINK54"/>
      <w:r>
        <w:rPr>
          <w:rFonts w:hint="eastAsia" w:ascii="仿宋_GB2312" w:eastAsia="仿宋_GB2312"/>
          <w:color w:val="000000" w:themeColor="text1"/>
          <w:sz w:val="32"/>
          <w:szCs w:val="32"/>
        </w:rPr>
        <w:t>结余</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，与上年相比，减少50.04万元，</w:t>
      </w:r>
      <w:r>
        <w:rPr>
          <w:rFonts w:hint="eastAsia" w:ascii="仿宋_GB2312" w:eastAsia="仿宋_GB2312"/>
          <w:sz w:val="32"/>
          <w:szCs w:val="32"/>
          <w:lang w:eastAsia="zh-CN"/>
        </w:rPr>
        <w:t>降低</w:t>
      </w:r>
      <w:r>
        <w:rPr>
          <w:rFonts w:hint="eastAsia" w:ascii="仿宋_GB2312" w:eastAsia="仿宋_GB2312"/>
          <w:sz w:val="32"/>
          <w:szCs w:val="32"/>
        </w:rPr>
        <w:t>100%，减少的主要原因是：</w:t>
      </w:r>
      <w:r>
        <w:rPr>
          <w:rFonts w:ascii="仿宋_GB2312" w:eastAsia="仿宋_GB2312"/>
          <w:color w:val="000000" w:themeColor="text1"/>
          <w:sz w:val="32"/>
          <w:szCs w:val="32"/>
        </w:rPr>
        <w:t>科学规范资金使用流程，合理控制资金支付，有效避免了资金结余的问题。</w:t>
      </w:r>
      <w:bookmarkEnd w:id="8"/>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（二）部门收入总体情况说明</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本年收入合计</w:t>
      </w:r>
      <w:r>
        <w:rPr>
          <w:rFonts w:hint="eastAsia" w:ascii="仿宋_GB2312" w:eastAsia="仿宋_GB2312"/>
          <w:sz w:val="32"/>
          <w:szCs w:val="32"/>
        </w:rPr>
        <w:t>574.65</w:t>
      </w:r>
      <w:r>
        <w:rPr>
          <w:rFonts w:hint="eastAsia" w:ascii="仿宋_GB2312" w:eastAsia="仿宋_GB2312"/>
          <w:color w:val="000000" w:themeColor="text1"/>
          <w:sz w:val="32"/>
          <w:szCs w:val="32"/>
        </w:rPr>
        <w:t>万元，其中：</w:t>
      </w:r>
      <w:bookmarkStart w:id="9" w:name="OLE_LINK1"/>
      <w:r>
        <w:rPr>
          <w:rFonts w:hint="eastAsia" w:ascii="仿宋_GB2312" w:eastAsia="仿宋_GB2312"/>
          <w:color w:val="000000" w:themeColor="text1"/>
          <w:sz w:val="32"/>
          <w:szCs w:val="32"/>
        </w:rPr>
        <w:t>财政拨款收入</w:t>
      </w:r>
      <w:bookmarkEnd w:id="9"/>
      <w:r>
        <w:rPr>
          <w:rFonts w:hint="eastAsia" w:ascii="仿宋_GB2312" w:eastAsia="仿宋_GB2312"/>
          <w:sz w:val="32"/>
          <w:szCs w:val="32"/>
        </w:rPr>
        <w:t>556.25</w:t>
      </w:r>
      <w:r>
        <w:rPr>
          <w:rFonts w:hint="eastAsia" w:ascii="仿宋_GB2312" w:eastAsia="仿宋_GB2312"/>
          <w:color w:val="000000" w:themeColor="text1"/>
          <w:sz w:val="32"/>
          <w:szCs w:val="32"/>
        </w:rPr>
        <w:t>万元，占</w:t>
      </w:r>
      <w:r>
        <w:rPr>
          <w:rFonts w:hint="eastAsia" w:ascii="仿宋_GB2312" w:eastAsia="仿宋_GB2312"/>
          <w:sz w:val="32"/>
          <w:szCs w:val="32"/>
        </w:rPr>
        <w:t>96.8%</w:t>
      </w:r>
      <w:r>
        <w:rPr>
          <w:rFonts w:hint="eastAsia" w:ascii="仿宋_GB2312" w:eastAsia="仿宋_GB2312"/>
          <w:color w:val="000000" w:themeColor="text1"/>
          <w:sz w:val="32"/>
          <w:szCs w:val="32"/>
        </w:rPr>
        <w:t>；</w:t>
      </w:r>
      <w:bookmarkStart w:id="10" w:name="OLE_LINK2"/>
      <w:r>
        <w:rPr>
          <w:rFonts w:hint="eastAsia" w:ascii="仿宋_GB2312" w:eastAsia="仿宋_GB2312"/>
          <w:color w:val="000000" w:themeColor="text1"/>
          <w:sz w:val="32"/>
          <w:szCs w:val="32"/>
        </w:rPr>
        <w:t>上级补助收入</w:t>
      </w:r>
      <w:bookmarkEnd w:id="10"/>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1" w:name="OLE_LINK3"/>
      <w:r>
        <w:rPr>
          <w:rFonts w:hint="eastAsia" w:ascii="仿宋_GB2312" w:eastAsia="仿宋_GB2312"/>
          <w:color w:val="000000" w:themeColor="text1"/>
          <w:sz w:val="32"/>
          <w:szCs w:val="32"/>
        </w:rPr>
        <w:t>事业收入</w:t>
      </w:r>
      <w:bookmarkEnd w:id="11"/>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2" w:name="OLE_LINK4"/>
      <w:r>
        <w:rPr>
          <w:rFonts w:hint="eastAsia" w:ascii="仿宋_GB2312" w:eastAsia="仿宋_GB2312"/>
          <w:color w:val="000000" w:themeColor="text1"/>
          <w:sz w:val="32"/>
          <w:szCs w:val="32"/>
        </w:rPr>
        <w:t>经营收入</w:t>
      </w:r>
      <w:bookmarkEnd w:id="1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3" w:name="OLE_LINK5"/>
      <w:r>
        <w:rPr>
          <w:rFonts w:hint="eastAsia" w:ascii="仿宋_GB2312" w:eastAsia="仿宋_GB2312"/>
          <w:color w:val="000000" w:themeColor="text1"/>
          <w:sz w:val="32"/>
          <w:szCs w:val="32"/>
        </w:rPr>
        <w:t>附属单位缴款</w:t>
      </w:r>
      <w:bookmarkEnd w:id="13"/>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4" w:name="OLE_LINK6"/>
      <w:r>
        <w:rPr>
          <w:rFonts w:hint="eastAsia" w:ascii="仿宋_GB2312" w:eastAsia="仿宋_GB2312"/>
          <w:color w:val="000000" w:themeColor="text1"/>
          <w:sz w:val="32"/>
          <w:szCs w:val="32"/>
        </w:rPr>
        <w:t>其他收入</w:t>
      </w:r>
      <w:bookmarkEnd w:id="14"/>
      <w:r>
        <w:rPr>
          <w:rFonts w:hint="eastAsia" w:ascii="仿宋_GB2312" w:eastAsia="仿宋_GB2312"/>
          <w:sz w:val="32"/>
          <w:szCs w:val="32"/>
        </w:rPr>
        <w:t>18.4</w:t>
      </w:r>
      <w:r>
        <w:rPr>
          <w:rFonts w:hint="eastAsia" w:ascii="仿宋_GB2312" w:eastAsia="仿宋_GB2312"/>
          <w:color w:val="000000" w:themeColor="text1"/>
          <w:sz w:val="32"/>
          <w:szCs w:val="32"/>
        </w:rPr>
        <w:t>万元，占</w:t>
      </w:r>
      <w:r>
        <w:rPr>
          <w:rFonts w:hint="eastAsia" w:ascii="仿宋_GB2312" w:eastAsia="仿宋_GB2312"/>
          <w:sz w:val="32"/>
          <w:szCs w:val="32"/>
        </w:rPr>
        <w:t>3.2%</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bookmarkStart w:id="15" w:name="OLE_LINK55"/>
      <w:r>
        <w:rPr>
          <w:rFonts w:hint="eastAsia" w:ascii="仿宋_GB2312" w:eastAsia="仿宋_GB2312"/>
          <w:sz w:val="32"/>
          <w:szCs w:val="32"/>
        </w:rPr>
        <w:t>与年初预算数相比情</w:t>
      </w:r>
      <w:r>
        <w:rPr>
          <w:rFonts w:hint="eastAsia" w:ascii="仿宋_GB2312" w:eastAsia="仿宋_GB2312"/>
          <w:color w:val="000000" w:themeColor="text1"/>
          <w:sz w:val="32"/>
          <w:szCs w:val="32"/>
        </w:rPr>
        <w:t>况：本年收入年初预算数177.76万元</w:t>
      </w:r>
      <w:r>
        <w:rPr>
          <w:rFonts w:hint="eastAsia" w:ascii="仿宋_GB2312" w:eastAsia="仿宋_GB2312"/>
          <w:sz w:val="32"/>
          <w:szCs w:val="32"/>
        </w:rPr>
        <w:t>，决算数574.65万元</w:t>
      </w:r>
      <w:r>
        <w:rPr>
          <w:rFonts w:ascii="仿宋_GB2312" w:eastAsia="仿宋_GB2312"/>
          <w:sz w:val="32"/>
          <w:szCs w:val="32"/>
        </w:rPr>
        <w:t>，预决算差异率223.27%，差异主要原因是年初预算未添加项目资金，实际发生项目资金数额较大。</w:t>
      </w:r>
      <w:bookmarkEnd w:id="15"/>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（三）部门支出总体情况说明</w:t>
      </w:r>
    </w:p>
    <w:p>
      <w:pPr>
        <w:spacing w:line="540" w:lineRule="exact"/>
        <w:ind w:firstLine="640" w:firstLineChars="200"/>
        <w:rPr>
          <w:rFonts w:ascii="仿宋_GB2312" w:eastAsia="仿宋_GB2312"/>
          <w:color w:val="000000" w:themeColor="text1"/>
          <w:spacing w:val="-6"/>
          <w:sz w:val="32"/>
          <w:szCs w:val="32"/>
        </w:rPr>
      </w:pPr>
      <w:bookmarkStart w:id="16" w:name="OLE_LINK7"/>
      <w:r>
        <w:rPr>
          <w:rFonts w:hint="eastAsia" w:ascii="仿宋_GB2312" w:eastAsia="仿宋_GB2312"/>
          <w:color w:val="000000" w:themeColor="text1"/>
          <w:sz w:val="32"/>
          <w:szCs w:val="32"/>
        </w:rPr>
        <w:t>本年支出合计</w:t>
      </w:r>
      <w:bookmarkEnd w:id="16"/>
      <w:r>
        <w:rPr>
          <w:rFonts w:hint="eastAsia" w:ascii="仿宋_GB2312" w:eastAsia="仿宋_GB2312"/>
          <w:sz w:val="32"/>
          <w:szCs w:val="32"/>
        </w:rPr>
        <w:t>624.68</w:t>
      </w:r>
      <w:r>
        <w:rPr>
          <w:rFonts w:hint="eastAsia" w:ascii="仿宋_GB2312" w:eastAsia="仿宋_GB2312"/>
          <w:color w:val="000000" w:themeColor="text1"/>
          <w:sz w:val="32"/>
          <w:szCs w:val="32"/>
        </w:rPr>
        <w:t>万元，其中：</w:t>
      </w:r>
      <w:bookmarkStart w:id="17" w:name="OLE_LINK8"/>
      <w:r>
        <w:rPr>
          <w:rFonts w:hint="eastAsia" w:ascii="仿宋_GB2312" w:eastAsia="仿宋_GB2312"/>
          <w:color w:val="000000" w:themeColor="text1"/>
          <w:sz w:val="32"/>
          <w:szCs w:val="32"/>
        </w:rPr>
        <w:t>基本支出</w:t>
      </w:r>
      <w:bookmarkEnd w:id="17"/>
      <w:r>
        <w:rPr>
          <w:rFonts w:hint="eastAsia" w:ascii="仿宋_GB2312" w:eastAsia="仿宋_GB2312"/>
          <w:sz w:val="32"/>
          <w:szCs w:val="32"/>
        </w:rPr>
        <w:t>191.63</w:t>
      </w:r>
      <w:r>
        <w:rPr>
          <w:rFonts w:hint="eastAsia" w:ascii="仿宋_GB2312" w:eastAsia="仿宋_GB2312"/>
          <w:color w:val="000000" w:themeColor="text1"/>
          <w:sz w:val="32"/>
          <w:szCs w:val="32"/>
        </w:rPr>
        <w:t>万元，占</w:t>
      </w:r>
      <w:r>
        <w:rPr>
          <w:rFonts w:hint="eastAsia" w:ascii="仿宋_GB2312" w:eastAsia="仿宋_GB2312"/>
          <w:sz w:val="32"/>
          <w:szCs w:val="32"/>
        </w:rPr>
        <w:t>30.68%</w:t>
      </w:r>
      <w:r>
        <w:rPr>
          <w:rFonts w:hint="eastAsia" w:ascii="仿宋_GB2312" w:eastAsia="仿宋_GB2312"/>
          <w:color w:val="000000" w:themeColor="text1"/>
          <w:sz w:val="32"/>
          <w:szCs w:val="32"/>
        </w:rPr>
        <w:t>；</w:t>
      </w:r>
      <w:bookmarkStart w:id="18" w:name="OLE_LINK9"/>
      <w:r>
        <w:rPr>
          <w:rFonts w:hint="eastAsia" w:ascii="仿宋_GB2312" w:eastAsia="仿宋_GB2312"/>
          <w:color w:val="000000" w:themeColor="text1"/>
          <w:sz w:val="32"/>
          <w:szCs w:val="32"/>
        </w:rPr>
        <w:t>项目支出</w:t>
      </w:r>
      <w:bookmarkEnd w:id="18"/>
      <w:r>
        <w:rPr>
          <w:rFonts w:hint="eastAsia" w:ascii="仿宋_GB2312" w:eastAsia="仿宋_GB2312"/>
          <w:sz w:val="32"/>
          <w:szCs w:val="32"/>
        </w:rPr>
        <w:t>433.05</w:t>
      </w:r>
      <w:r>
        <w:rPr>
          <w:rFonts w:hint="eastAsia" w:ascii="仿宋_GB2312" w:eastAsia="仿宋_GB2312"/>
          <w:color w:val="000000" w:themeColor="text1"/>
          <w:sz w:val="32"/>
          <w:szCs w:val="32"/>
        </w:rPr>
        <w:t>万元，占</w:t>
      </w:r>
      <w:r>
        <w:rPr>
          <w:rFonts w:hint="eastAsia" w:ascii="仿宋_GB2312" w:eastAsia="仿宋_GB2312"/>
          <w:sz w:val="32"/>
          <w:szCs w:val="32"/>
        </w:rPr>
        <w:t>69.32%</w:t>
      </w:r>
      <w:r>
        <w:rPr>
          <w:rFonts w:hint="eastAsia" w:ascii="仿宋_GB2312" w:eastAsia="仿宋_GB2312"/>
          <w:color w:val="000000" w:themeColor="text1"/>
          <w:sz w:val="32"/>
          <w:szCs w:val="32"/>
        </w:rPr>
        <w:t>；</w:t>
      </w:r>
      <w:bookmarkStart w:id="19" w:name="OLE_LINK10"/>
      <w:r>
        <w:rPr>
          <w:rFonts w:hint="eastAsia" w:ascii="仿宋_GB2312" w:eastAsia="仿宋_GB2312"/>
          <w:color w:val="000000" w:themeColor="text1"/>
          <w:sz w:val="32"/>
          <w:szCs w:val="32"/>
        </w:rPr>
        <w:t>上缴上级支出</w:t>
      </w:r>
      <w:bookmarkEnd w:id="1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20" w:name="OLE_LINK11"/>
      <w:r>
        <w:rPr>
          <w:rFonts w:hint="eastAsia" w:ascii="仿宋_GB2312" w:eastAsia="仿宋_GB2312"/>
          <w:color w:val="000000" w:themeColor="text1"/>
          <w:spacing w:val="-6"/>
          <w:sz w:val="32"/>
          <w:szCs w:val="32"/>
        </w:rPr>
        <w:t>经营支出</w:t>
      </w:r>
      <w:bookmarkEnd w:id="20"/>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color w:val="000000" w:themeColor="text1"/>
          <w:spacing w:val="-6"/>
          <w:sz w:val="32"/>
          <w:szCs w:val="32"/>
        </w:rPr>
        <w:t>；</w:t>
      </w:r>
      <w:bookmarkStart w:id="21" w:name="OLE_LINK12"/>
      <w:r>
        <w:rPr>
          <w:rFonts w:hint="eastAsia" w:ascii="仿宋_GB2312" w:eastAsia="仿宋_GB2312"/>
          <w:color w:val="000000" w:themeColor="text1"/>
          <w:spacing w:val="-6"/>
          <w:sz w:val="32"/>
          <w:szCs w:val="32"/>
        </w:rPr>
        <w:t>对附属单位补助支出</w:t>
      </w:r>
      <w:bookmarkEnd w:id="21"/>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p>
    <w:p>
      <w:pPr>
        <w:spacing w:line="540" w:lineRule="exact"/>
        <w:ind w:firstLine="640" w:firstLineChars="200"/>
        <w:rPr>
          <w:rFonts w:ascii="仿宋_GB2312" w:eastAsia="仿宋_GB2312"/>
          <w:sz w:val="32"/>
          <w:szCs w:val="32"/>
        </w:rPr>
      </w:pPr>
      <w:bookmarkStart w:id="22" w:name="OLE_LINK56"/>
      <w:r>
        <w:rPr>
          <w:rFonts w:hint="eastAsia" w:ascii="仿宋_GB2312" w:eastAsia="仿宋_GB2312"/>
          <w:color w:val="000000" w:themeColor="text1"/>
          <w:sz w:val="32"/>
          <w:szCs w:val="32"/>
        </w:rPr>
        <w:t>与年初预算数相比情况：本年支出年初预算数177.76万元，</w:t>
      </w:r>
      <w:r>
        <w:rPr>
          <w:rFonts w:hint="eastAsia" w:ascii="仿宋_GB2312" w:eastAsia="仿宋_GB2312"/>
          <w:sz w:val="32"/>
          <w:szCs w:val="32"/>
        </w:rPr>
        <w:t>决算数624.68万元</w:t>
      </w:r>
      <w:r>
        <w:rPr>
          <w:rFonts w:ascii="仿宋_GB2312" w:eastAsia="仿宋_GB2312"/>
          <w:sz w:val="32"/>
          <w:szCs w:val="32"/>
        </w:rPr>
        <w:t>，预决算差异率251.42%，差异主要原因是年初预算未添加项目资金，实际发生项目资金数额较大。</w:t>
      </w:r>
    </w:p>
    <w:bookmarkEnd w:id="22"/>
    <w:p>
      <w:pPr>
        <w:spacing w:line="540" w:lineRule="exact"/>
        <w:ind w:firstLine="640" w:firstLineChars="200"/>
        <w:rPr>
          <w:rFonts w:ascii="黑体" w:hAnsi="黑体" w:eastAsia="黑体"/>
          <w:sz w:val="32"/>
          <w:szCs w:val="32"/>
        </w:rPr>
      </w:pPr>
      <w:r>
        <w:rPr>
          <w:rFonts w:hint="eastAsia" w:ascii="黑体" w:hAnsi="黑体" w:eastAsia="黑体"/>
          <w:sz w:val="32"/>
          <w:szCs w:val="32"/>
        </w:rPr>
        <w:t>二、部门财政拨款收支情况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（一）财政拨款收支总体情况说明</w:t>
      </w:r>
    </w:p>
    <w:p>
      <w:pPr>
        <w:spacing w:line="540" w:lineRule="exact"/>
        <w:ind w:firstLine="640" w:firstLineChars="200"/>
        <w:rPr>
          <w:rFonts w:ascii="仿宋_GB2312" w:eastAsia="仿宋_GB2312"/>
          <w:color w:val="000000" w:themeColor="text1"/>
          <w:sz w:val="32"/>
          <w:szCs w:val="32"/>
        </w:rPr>
      </w:pPr>
      <w:bookmarkStart w:id="23" w:name="OLE_LINK58"/>
      <w:bookmarkStart w:id="24" w:name="OLE_LINK57"/>
      <w:r>
        <w:rPr>
          <w:rFonts w:hint="eastAsia" w:ascii="仿宋_GB2312" w:eastAsia="仿宋_GB2312"/>
          <w:color w:val="000000" w:themeColor="text1"/>
          <w:sz w:val="32"/>
          <w:szCs w:val="32"/>
        </w:rPr>
        <w:t>2018年度</w:t>
      </w:r>
      <w:bookmarkStart w:id="25" w:name="OLE_LINK13"/>
      <w:r>
        <w:rPr>
          <w:rFonts w:hint="eastAsia" w:ascii="仿宋_GB2312" w:eastAsia="仿宋_GB2312"/>
          <w:color w:val="000000" w:themeColor="text1"/>
          <w:sz w:val="32"/>
          <w:szCs w:val="32"/>
        </w:rPr>
        <w:t>财政拨款收入</w:t>
      </w:r>
      <w:bookmarkEnd w:id="25"/>
      <w:r>
        <w:rPr>
          <w:rFonts w:hint="eastAsia" w:ascii="仿宋_GB2312" w:eastAsia="仿宋_GB2312"/>
          <w:sz w:val="32"/>
          <w:szCs w:val="32"/>
        </w:rPr>
        <w:t>556.25</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，与上年相比，减少1,189.61万元，</w:t>
      </w:r>
      <w:r>
        <w:rPr>
          <w:rFonts w:hint="eastAsia" w:ascii="仿宋_GB2312" w:eastAsia="仿宋_GB2312"/>
          <w:sz w:val="32"/>
          <w:szCs w:val="32"/>
          <w:lang w:eastAsia="zh-CN"/>
        </w:rPr>
        <w:t>降低</w:t>
      </w:r>
      <w:r>
        <w:rPr>
          <w:rFonts w:hint="eastAsia" w:ascii="仿宋_GB2312" w:eastAsia="仿宋_GB2312"/>
          <w:sz w:val="32"/>
          <w:szCs w:val="32"/>
        </w:rPr>
        <w:t>68.14%，</w:t>
      </w:r>
      <w:r>
        <w:rPr>
          <w:rFonts w:hint="eastAsia" w:ascii="仿宋_GB2312" w:eastAsia="仿宋_GB2312"/>
          <w:sz w:val="32"/>
          <w:szCs w:val="32"/>
          <w:lang w:val="en-US" w:eastAsia="zh-CN"/>
        </w:rPr>
        <w:t>增减变化</w:t>
      </w:r>
      <w:r>
        <w:rPr>
          <w:rFonts w:hint="eastAsia" w:ascii="仿宋_GB2312" w:eastAsia="仿宋_GB2312"/>
          <w:sz w:val="32"/>
          <w:szCs w:val="32"/>
        </w:rPr>
        <w:t>的主要原因是：机构改革，站所人员划转，相应的资金投入力度减少。</w:t>
      </w:r>
      <w:bookmarkEnd w:id="23"/>
      <w:bookmarkEnd w:id="24"/>
      <w:bookmarkStart w:id="26" w:name="OLE_LINK14"/>
      <w:bookmarkStart w:id="27" w:name="OLE_LINK59"/>
      <w:bookmarkStart w:id="28" w:name="OLE_LINK60"/>
      <w:r>
        <w:rPr>
          <w:rFonts w:hint="eastAsia" w:ascii="仿宋_GB2312" w:eastAsia="仿宋_GB2312"/>
          <w:color w:val="000000" w:themeColor="text1"/>
          <w:sz w:val="32"/>
          <w:szCs w:val="32"/>
        </w:rPr>
        <w:t>财政拨款支出</w:t>
      </w:r>
      <w:bookmarkEnd w:id="26"/>
      <w:r>
        <w:rPr>
          <w:rFonts w:hint="eastAsia" w:ascii="仿宋_GB2312" w:eastAsia="仿宋_GB2312"/>
          <w:sz w:val="32"/>
          <w:szCs w:val="32"/>
        </w:rPr>
        <w:t>606.28</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，与上年相比，减少1,126.97万元，</w:t>
      </w:r>
      <w:r>
        <w:rPr>
          <w:rFonts w:hint="eastAsia" w:ascii="仿宋_GB2312" w:eastAsia="仿宋_GB2312"/>
          <w:sz w:val="32"/>
          <w:szCs w:val="32"/>
          <w:lang w:eastAsia="zh-CN"/>
        </w:rPr>
        <w:t>降低</w:t>
      </w:r>
      <w:r>
        <w:rPr>
          <w:rFonts w:hint="eastAsia" w:ascii="仿宋_GB2312" w:eastAsia="仿宋_GB2312"/>
          <w:sz w:val="32"/>
          <w:szCs w:val="32"/>
        </w:rPr>
        <w:t>65.02%，</w:t>
      </w:r>
      <w:r>
        <w:rPr>
          <w:rFonts w:hint="eastAsia" w:ascii="仿宋_GB2312" w:eastAsia="仿宋_GB2312"/>
          <w:sz w:val="32"/>
          <w:szCs w:val="32"/>
          <w:lang w:val="en-US" w:eastAsia="zh-CN"/>
        </w:rPr>
        <w:t>增减变化</w:t>
      </w:r>
      <w:r>
        <w:rPr>
          <w:rFonts w:hint="eastAsia" w:ascii="仿宋_GB2312" w:eastAsia="仿宋_GB2312"/>
          <w:sz w:val="32"/>
          <w:szCs w:val="32"/>
        </w:rPr>
        <w:t>的主要原因是：</w:t>
      </w:r>
      <w:r>
        <w:rPr>
          <w:rFonts w:ascii="仿宋_GB2312" w:eastAsia="仿宋_GB2312"/>
          <w:sz w:val="32"/>
          <w:szCs w:val="32"/>
        </w:rPr>
        <w:t>机构改革，站所人员划转，相应的资金投入力度减少。</w:t>
      </w:r>
      <w:bookmarkEnd w:id="27"/>
      <w:bookmarkEnd w:id="28"/>
      <w:bookmarkStart w:id="29" w:name="OLE_LINK61"/>
      <w:r>
        <w:rPr>
          <w:rFonts w:hint="eastAsia" w:ascii="仿宋_GB2312" w:eastAsia="仿宋_GB2312"/>
          <w:color w:val="000000" w:themeColor="text1"/>
          <w:sz w:val="32"/>
          <w:szCs w:val="32"/>
        </w:rPr>
        <w:t>其中：</w:t>
      </w:r>
      <w:bookmarkStart w:id="30" w:name="OLE_LINK15"/>
      <w:r>
        <w:rPr>
          <w:rFonts w:hint="eastAsia" w:ascii="仿宋_GB2312" w:eastAsia="仿宋_GB2312"/>
          <w:color w:val="000000" w:themeColor="text1"/>
          <w:sz w:val="32"/>
          <w:szCs w:val="32"/>
        </w:rPr>
        <w:t>基本支出</w:t>
      </w:r>
      <w:bookmarkEnd w:id="30"/>
      <w:r>
        <w:rPr>
          <w:rFonts w:hint="eastAsia" w:ascii="仿宋_GB2312" w:eastAsia="仿宋_GB2312"/>
          <w:sz w:val="32"/>
          <w:szCs w:val="32"/>
        </w:rPr>
        <w:t>181.03</w:t>
      </w:r>
      <w:r>
        <w:rPr>
          <w:rFonts w:hint="eastAsia" w:ascii="仿宋_GB2312" w:eastAsia="仿宋_GB2312"/>
          <w:color w:val="000000" w:themeColor="text1"/>
          <w:sz w:val="32"/>
          <w:szCs w:val="32"/>
        </w:rPr>
        <w:t>万元，项目支出</w:t>
      </w:r>
      <w:r>
        <w:rPr>
          <w:rFonts w:hint="eastAsia" w:ascii="仿宋_GB2312" w:eastAsia="仿宋_GB2312"/>
          <w:sz w:val="32"/>
          <w:szCs w:val="32"/>
        </w:rPr>
        <w:t>425.25</w:t>
      </w:r>
      <w:r>
        <w:rPr>
          <w:rFonts w:hint="eastAsia" w:ascii="仿宋_GB2312" w:eastAsia="仿宋_GB2312"/>
          <w:color w:val="000000" w:themeColor="text1"/>
          <w:sz w:val="32"/>
          <w:szCs w:val="32"/>
        </w:rPr>
        <w:t>万元。</w:t>
      </w:r>
      <w:bookmarkStart w:id="31" w:name="OLE_LINK16"/>
      <w:r>
        <w:rPr>
          <w:rFonts w:hint="eastAsia" w:ascii="仿宋_GB2312" w:eastAsia="仿宋_GB2312"/>
          <w:color w:val="000000" w:themeColor="text1"/>
          <w:sz w:val="32"/>
          <w:szCs w:val="32"/>
        </w:rPr>
        <w:t>财政拨款结转结余</w:t>
      </w:r>
      <w:bookmarkEnd w:id="31"/>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，与上年相比，减少50.04万元，</w:t>
      </w:r>
      <w:r>
        <w:rPr>
          <w:rFonts w:hint="eastAsia" w:ascii="仿宋_GB2312" w:eastAsia="仿宋_GB2312"/>
          <w:sz w:val="32"/>
          <w:szCs w:val="32"/>
          <w:lang w:eastAsia="zh-CN"/>
        </w:rPr>
        <w:t>降低</w:t>
      </w:r>
      <w:r>
        <w:rPr>
          <w:rFonts w:hint="eastAsia" w:ascii="仿宋_GB2312" w:eastAsia="仿宋_GB2312"/>
          <w:sz w:val="32"/>
          <w:szCs w:val="32"/>
        </w:rPr>
        <w:t>100%，</w:t>
      </w:r>
      <w:r>
        <w:rPr>
          <w:rFonts w:hint="eastAsia" w:ascii="仿宋_GB2312" w:eastAsia="仿宋_GB2312"/>
          <w:sz w:val="32"/>
          <w:szCs w:val="32"/>
          <w:lang w:val="en-US" w:eastAsia="zh-CN"/>
        </w:rPr>
        <w:t>增减变化</w:t>
      </w:r>
      <w:r>
        <w:rPr>
          <w:rFonts w:hint="eastAsia" w:ascii="仿宋_GB2312" w:eastAsia="仿宋_GB2312"/>
          <w:sz w:val="32"/>
          <w:szCs w:val="32"/>
        </w:rPr>
        <w:t>的主要原因是：科学规范资金使用流程，合理控制资金支付，有效避免了资金结余的问题。</w:t>
      </w:r>
      <w:bookmarkEnd w:id="29"/>
    </w:p>
    <w:p>
      <w:pPr>
        <w:spacing w:line="540" w:lineRule="exact"/>
        <w:ind w:firstLine="640" w:firstLineChars="200"/>
        <w:rPr>
          <w:rFonts w:ascii="仿宋_GB2312" w:eastAsia="仿宋_GB2312"/>
          <w:color w:val="000000" w:themeColor="text1"/>
          <w:sz w:val="32"/>
          <w:szCs w:val="32"/>
        </w:rPr>
      </w:pPr>
      <w:bookmarkStart w:id="32" w:name="OLE_LINK62"/>
      <w:r>
        <w:rPr>
          <w:rFonts w:hint="eastAsia" w:ascii="仿宋_GB2312" w:eastAsia="仿宋_GB2312"/>
          <w:color w:val="000000" w:themeColor="text1"/>
          <w:sz w:val="32"/>
          <w:szCs w:val="32"/>
        </w:rPr>
        <w:t>与年初预算数相比情况：财政拨款收入年初预算数</w:t>
      </w:r>
      <w:r>
        <w:rPr>
          <w:rFonts w:ascii="仿宋_GB2312" w:eastAsia="仿宋_GB2312"/>
          <w:color w:val="000000" w:themeColor="text1"/>
          <w:sz w:val="32"/>
          <w:szCs w:val="32"/>
        </w:rPr>
        <w:t>177.76</w:t>
      </w:r>
      <w:r>
        <w:rPr>
          <w:rFonts w:hint="eastAsia" w:ascii="仿宋_GB2312" w:eastAsia="仿宋_GB2312"/>
          <w:color w:val="000000" w:themeColor="text1"/>
          <w:sz w:val="32"/>
          <w:szCs w:val="32"/>
        </w:rPr>
        <w:t>万元，决算数</w:t>
      </w:r>
      <w:r>
        <w:rPr>
          <w:rFonts w:hint="eastAsia" w:ascii="仿宋_GB2312" w:eastAsia="仿宋_GB2312"/>
          <w:sz w:val="32"/>
          <w:szCs w:val="32"/>
        </w:rPr>
        <w:t>556.25</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，预决算差异率212.92%，差异主要原因是年初预算未添加项目资金，实际发生项目资金数额较大。</w:t>
      </w:r>
      <w:bookmarkEnd w:id="32"/>
      <w:bookmarkStart w:id="33" w:name="OLE_LINK63"/>
      <w:r>
        <w:rPr>
          <w:rFonts w:hint="eastAsia" w:ascii="仿宋_GB2312" w:eastAsia="仿宋_GB2312"/>
          <w:color w:val="000000" w:themeColor="text1"/>
          <w:sz w:val="32"/>
          <w:szCs w:val="32"/>
        </w:rPr>
        <w:t>财政拨款支出年初预算数</w:t>
      </w:r>
      <w:r>
        <w:rPr>
          <w:rFonts w:ascii="仿宋_GB2312" w:eastAsia="仿宋_GB2312"/>
          <w:color w:val="000000" w:themeColor="text1"/>
          <w:sz w:val="32"/>
          <w:szCs w:val="32"/>
        </w:rPr>
        <w:t>177.76</w:t>
      </w:r>
      <w:r>
        <w:rPr>
          <w:rFonts w:hint="eastAsia" w:ascii="仿宋_GB2312" w:eastAsia="仿宋_GB2312"/>
          <w:color w:val="000000" w:themeColor="text1"/>
          <w:sz w:val="32"/>
          <w:szCs w:val="32"/>
        </w:rPr>
        <w:t>万元，决算数</w:t>
      </w:r>
      <w:r>
        <w:rPr>
          <w:rFonts w:hint="eastAsia" w:ascii="仿宋_GB2312" w:eastAsia="仿宋_GB2312"/>
          <w:sz w:val="32"/>
          <w:szCs w:val="32"/>
        </w:rPr>
        <w:t>606.28</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，预决算差异率241.07%，差异主要原因是年初预算未添加项目资金，实际发生项目资金数额较大。</w:t>
      </w:r>
      <w:bookmarkEnd w:id="3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（二）一般公共预算收支决算情况说明</w:t>
      </w:r>
    </w:p>
    <w:p>
      <w:pPr>
        <w:spacing w:line="540" w:lineRule="exact"/>
        <w:ind w:firstLine="640" w:firstLineChars="200"/>
        <w:rPr>
          <w:rFonts w:ascii="仿宋_GB2312" w:eastAsia="仿宋_GB2312"/>
          <w:color w:val="000000" w:themeColor="text1"/>
          <w:sz w:val="32"/>
          <w:szCs w:val="32"/>
        </w:rPr>
      </w:pPr>
      <w:bookmarkStart w:id="34" w:name="OLE_LINK64"/>
      <w:r>
        <w:rPr>
          <w:rFonts w:hint="eastAsia" w:ascii="仿宋_GB2312" w:eastAsia="仿宋_GB2312"/>
          <w:color w:val="000000" w:themeColor="text1"/>
          <w:sz w:val="32"/>
          <w:szCs w:val="32"/>
        </w:rPr>
        <w:t>2018年度</w:t>
      </w:r>
      <w:bookmarkStart w:id="35" w:name="OLE_LINK17"/>
      <w:r>
        <w:rPr>
          <w:rFonts w:hint="eastAsia" w:ascii="仿宋_GB2312" w:eastAsia="仿宋_GB2312"/>
          <w:color w:val="000000" w:themeColor="text1"/>
          <w:sz w:val="32"/>
          <w:szCs w:val="32"/>
        </w:rPr>
        <w:t>一般公共预算财政拨款收入</w:t>
      </w:r>
      <w:bookmarkEnd w:id="35"/>
      <w:r>
        <w:rPr>
          <w:rFonts w:ascii="仿宋_GB2312" w:eastAsia="仿宋_GB2312"/>
          <w:color w:val="000000" w:themeColor="text1"/>
          <w:sz w:val="32"/>
          <w:szCs w:val="32"/>
        </w:rPr>
        <w:t>556.25</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，与上年相比，减少1,189.61万元，</w:t>
      </w:r>
      <w:r>
        <w:rPr>
          <w:rFonts w:hint="eastAsia" w:ascii="仿宋_GB2312" w:eastAsia="仿宋_GB2312"/>
          <w:color w:val="000000" w:themeColor="text1"/>
          <w:sz w:val="32"/>
          <w:szCs w:val="32"/>
          <w:lang w:eastAsia="zh-CN"/>
        </w:rPr>
        <w:t>降低</w:t>
      </w:r>
      <w:r>
        <w:rPr>
          <w:rFonts w:ascii="仿宋_GB2312" w:eastAsia="仿宋_GB2312"/>
          <w:color w:val="000000" w:themeColor="text1"/>
          <w:sz w:val="32"/>
          <w:szCs w:val="32"/>
        </w:rPr>
        <w:t>68.14%，</w:t>
      </w:r>
      <w:r>
        <w:rPr>
          <w:rFonts w:hint="eastAsia" w:ascii="仿宋_GB2312" w:eastAsia="仿宋_GB2312"/>
          <w:sz w:val="32"/>
          <w:szCs w:val="32"/>
          <w:lang w:val="en-US" w:eastAsia="zh-CN"/>
        </w:rPr>
        <w:t>增减变化</w:t>
      </w:r>
      <w:r>
        <w:rPr>
          <w:rFonts w:hint="eastAsia" w:ascii="仿宋_GB2312" w:eastAsia="仿宋_GB2312"/>
          <w:sz w:val="32"/>
          <w:szCs w:val="32"/>
        </w:rPr>
        <w:t>的主要原因是</w:t>
      </w:r>
      <w:r>
        <w:rPr>
          <w:rFonts w:ascii="仿宋_GB2312" w:eastAsia="仿宋_GB2312"/>
          <w:color w:val="000000" w:themeColor="text1"/>
          <w:sz w:val="32"/>
          <w:szCs w:val="32"/>
        </w:rPr>
        <w:t>：机构改革，站所人员划转，相应的资金投入力度减少。</w:t>
      </w:r>
      <w:bookmarkEnd w:id="34"/>
      <w:bookmarkStart w:id="36" w:name="OLE_LINK18"/>
      <w:bookmarkStart w:id="37" w:name="OLE_LINK65"/>
      <w:r>
        <w:rPr>
          <w:rFonts w:hint="eastAsia" w:ascii="仿宋_GB2312" w:eastAsia="仿宋_GB2312"/>
          <w:color w:val="000000" w:themeColor="text1"/>
          <w:sz w:val="32"/>
          <w:szCs w:val="32"/>
        </w:rPr>
        <w:t>一般公共预算财政拨款支出</w:t>
      </w:r>
      <w:r>
        <w:rPr>
          <w:rFonts w:hint="eastAsia" w:ascii="仿宋_GB2312" w:eastAsia="仿宋_GB2312"/>
          <w:sz w:val="32"/>
          <w:szCs w:val="32"/>
        </w:rPr>
        <w:t>606.28</w:t>
      </w:r>
      <w:r>
        <w:rPr>
          <w:rFonts w:hint="eastAsia" w:ascii="仿宋_GB2312" w:eastAsia="仿宋_GB2312"/>
          <w:color w:val="000000" w:themeColor="text1"/>
          <w:sz w:val="32"/>
          <w:szCs w:val="32"/>
        </w:rPr>
        <w:t>万元</w:t>
      </w:r>
      <w:bookmarkEnd w:id="36"/>
      <w:r>
        <w:rPr>
          <w:rFonts w:hint="eastAsia" w:ascii="仿宋_GB2312" w:eastAsia="仿宋_GB2312"/>
          <w:sz w:val="32"/>
          <w:szCs w:val="32"/>
        </w:rPr>
        <w:t>，与上年相比，减少1,126.97万元，</w:t>
      </w:r>
      <w:r>
        <w:rPr>
          <w:rFonts w:hint="eastAsia" w:ascii="仿宋_GB2312" w:eastAsia="仿宋_GB2312"/>
          <w:sz w:val="32"/>
          <w:szCs w:val="32"/>
          <w:lang w:eastAsia="zh-CN"/>
        </w:rPr>
        <w:t>降低</w:t>
      </w:r>
      <w:r>
        <w:rPr>
          <w:rFonts w:hint="eastAsia" w:ascii="仿宋_GB2312" w:eastAsia="仿宋_GB2312"/>
          <w:sz w:val="32"/>
          <w:szCs w:val="32"/>
        </w:rPr>
        <w:t>65.02%，</w:t>
      </w:r>
      <w:r>
        <w:rPr>
          <w:rFonts w:hint="eastAsia" w:ascii="仿宋_GB2312" w:eastAsia="仿宋_GB2312"/>
          <w:sz w:val="32"/>
          <w:szCs w:val="32"/>
          <w:lang w:val="en-US" w:eastAsia="zh-CN"/>
        </w:rPr>
        <w:t>增减变化</w:t>
      </w:r>
      <w:r>
        <w:rPr>
          <w:rFonts w:hint="eastAsia" w:ascii="仿宋_GB2312" w:eastAsia="仿宋_GB2312"/>
          <w:sz w:val="32"/>
          <w:szCs w:val="32"/>
        </w:rPr>
        <w:t>的主要原因是：机构改革，站所人员划转，相应的资金投入力度减少。</w:t>
      </w:r>
      <w:bookmarkEnd w:id="37"/>
      <w:r>
        <w:rPr>
          <w:rFonts w:hint="eastAsia" w:ascii="仿宋_GB2312" w:eastAsia="仿宋_GB2312"/>
          <w:color w:val="000000" w:themeColor="text1"/>
          <w:sz w:val="32"/>
          <w:szCs w:val="32"/>
        </w:rPr>
        <w:t>其中：</w:t>
      </w:r>
      <w:bookmarkStart w:id="38" w:name="OLE_LINK19"/>
      <w:r>
        <w:rPr>
          <w:rFonts w:hint="eastAsia" w:ascii="仿宋_GB2312" w:eastAsia="仿宋_GB2312"/>
          <w:color w:val="000000" w:themeColor="text1"/>
          <w:sz w:val="32"/>
          <w:szCs w:val="32"/>
        </w:rPr>
        <w:t>按功能分类科目（按类级科目公开）</w:t>
      </w:r>
      <w:bookmarkEnd w:id="38"/>
      <w:r>
        <w:rPr>
          <w:rFonts w:hint="eastAsia" w:ascii="仿宋_GB2312" w:eastAsia="仿宋_GB2312"/>
          <w:color w:val="000000" w:themeColor="text1"/>
          <w:sz w:val="32"/>
          <w:szCs w:val="32"/>
        </w:rPr>
        <w:t>，</w:t>
      </w:r>
      <w:r>
        <w:rPr>
          <w:rFonts w:hint="eastAsia" w:ascii="仿宋_GB2312" w:eastAsia="仿宋_GB2312"/>
          <w:sz w:val="32"/>
          <w:szCs w:val="32"/>
        </w:rPr>
        <w:t>住房保障支出16.6万元,农林水支出562.38万元,社会保障和就业支出27.3万元。</w:t>
      </w:r>
      <w:bookmarkStart w:id="39" w:name="OLE_LINK20"/>
      <w:bookmarkStart w:id="40" w:name="OLE_LINK21"/>
      <w:r>
        <w:rPr>
          <w:rFonts w:hint="eastAsia" w:ascii="仿宋_GB2312" w:eastAsia="仿宋_GB2312"/>
          <w:color w:val="000000" w:themeColor="text1"/>
          <w:sz w:val="32"/>
          <w:szCs w:val="32"/>
        </w:rPr>
        <w:t>按经济分类科目</w:t>
      </w:r>
      <w:bookmarkEnd w:id="39"/>
      <w:r>
        <w:rPr>
          <w:rFonts w:hint="eastAsia" w:ascii="仿宋_GB2312" w:eastAsia="仿宋_GB2312"/>
          <w:color w:val="000000" w:themeColor="text1"/>
          <w:sz w:val="32"/>
          <w:szCs w:val="32"/>
        </w:rPr>
        <w:t>（按类级科目公开）</w:t>
      </w:r>
      <w:bookmarkEnd w:id="40"/>
      <w:r>
        <w:rPr>
          <w:rFonts w:hint="eastAsia" w:ascii="仿宋_GB2312" w:eastAsia="仿宋_GB2312"/>
          <w:color w:val="000000" w:themeColor="text1"/>
          <w:sz w:val="32"/>
          <w:szCs w:val="32"/>
        </w:rPr>
        <w:t>，</w:t>
      </w:r>
      <w:r>
        <w:rPr>
          <w:rFonts w:hint="eastAsia" w:ascii="仿宋_GB2312" w:eastAsia="仿宋_GB2312"/>
          <w:sz w:val="32"/>
          <w:szCs w:val="32"/>
        </w:rPr>
        <w:t>工资福利支出163.99万元,商品和服务支出28万元,对个人和家庭的补助129.09万元,资本性支出285.21万元。</w:t>
      </w:r>
    </w:p>
    <w:p>
      <w:pPr>
        <w:spacing w:line="540" w:lineRule="exact"/>
        <w:ind w:firstLine="640" w:firstLineChars="200"/>
        <w:rPr>
          <w:rFonts w:ascii="仿宋_GB2312" w:eastAsia="仿宋_GB2312"/>
          <w:color w:val="000000" w:themeColor="text1"/>
          <w:sz w:val="32"/>
          <w:szCs w:val="32"/>
        </w:rPr>
      </w:pPr>
      <w:bookmarkStart w:id="41" w:name="OLE_LINK67"/>
      <w:bookmarkStart w:id="42" w:name="OLE_LINK66"/>
      <w:r>
        <w:rPr>
          <w:rFonts w:hint="eastAsia" w:ascii="仿宋_GB2312" w:eastAsia="仿宋_GB2312"/>
          <w:color w:val="000000" w:themeColor="text1"/>
          <w:sz w:val="32"/>
          <w:szCs w:val="32"/>
        </w:rPr>
        <w:t>与年初预算数相比情况：一般公共预算财政拨款收入年初预算数</w:t>
      </w:r>
      <w:r>
        <w:rPr>
          <w:rFonts w:ascii="仿宋_GB2312" w:eastAsia="仿宋_GB2312"/>
          <w:color w:val="000000" w:themeColor="text1"/>
          <w:sz w:val="32"/>
          <w:szCs w:val="32"/>
        </w:rPr>
        <w:t>177.76</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556.25</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，预决算差异率212.92%，差异主要原因是年初预算未添加项目资金，实际发生项目资金数额较大。</w:t>
      </w:r>
      <w:bookmarkEnd w:id="41"/>
      <w:bookmarkEnd w:id="42"/>
      <w:bookmarkStart w:id="43" w:name="OLE_LINK68"/>
      <w:r>
        <w:rPr>
          <w:rFonts w:hint="eastAsia" w:ascii="仿宋_GB2312" w:eastAsia="仿宋_GB2312"/>
          <w:color w:val="000000" w:themeColor="text1"/>
          <w:sz w:val="32"/>
          <w:szCs w:val="32"/>
        </w:rPr>
        <w:t>一般公共预算财政拨款支出年初预算数</w:t>
      </w:r>
      <w:r>
        <w:rPr>
          <w:rFonts w:ascii="仿宋_GB2312" w:eastAsia="仿宋_GB2312"/>
          <w:color w:val="000000" w:themeColor="text1"/>
          <w:sz w:val="32"/>
          <w:szCs w:val="32"/>
        </w:rPr>
        <w:t>177.76</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606.28</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，预决算差异率241.07%，差异主要原因是年初预算未添加项目资金，实际发生项目资金数额较大。</w:t>
      </w:r>
      <w:bookmarkEnd w:id="4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（三）政府性基金预算收支决算情况说明</w:t>
      </w:r>
    </w:p>
    <w:p>
      <w:pPr>
        <w:spacing w:line="540" w:lineRule="exact"/>
        <w:ind w:firstLine="640" w:firstLineChars="200"/>
        <w:rPr>
          <w:rFonts w:ascii="仿宋_GB2312" w:eastAsia="仿宋_GB2312"/>
          <w:color w:val="000000" w:themeColor="text1"/>
          <w:sz w:val="32"/>
          <w:szCs w:val="32"/>
        </w:rPr>
      </w:pPr>
      <w:bookmarkStart w:id="44" w:name="OLE_LINK69"/>
      <w:r>
        <w:rPr>
          <w:rFonts w:hint="eastAsia" w:ascii="仿宋_GB2312" w:eastAsia="仿宋_GB2312"/>
          <w:color w:val="000000" w:themeColor="text1"/>
          <w:sz w:val="32"/>
          <w:szCs w:val="32"/>
        </w:rPr>
        <w:t>2018年度</w:t>
      </w:r>
      <w:bookmarkStart w:id="45" w:name="OLE_LINK22"/>
      <w:r>
        <w:rPr>
          <w:rFonts w:hint="eastAsia" w:ascii="仿宋_GB2312" w:eastAsia="仿宋_GB2312"/>
          <w:color w:val="000000" w:themeColor="text1"/>
          <w:sz w:val="32"/>
          <w:szCs w:val="32"/>
        </w:rPr>
        <w:t>政府性基金预算财政拨款收入</w:t>
      </w:r>
      <w:bookmarkEnd w:id="45"/>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降低</w:t>
      </w:r>
      <w:r>
        <w:rPr>
          <w:rFonts w:hint="eastAsia" w:ascii="仿宋_GB2312" w:eastAsia="仿宋_GB2312"/>
          <w:sz w:val="32"/>
          <w:szCs w:val="32"/>
          <w:lang w:val="en-US" w:eastAsia="zh-CN"/>
        </w:rPr>
        <w:t>0</w:t>
      </w:r>
      <w:r>
        <w:rPr>
          <w:rFonts w:hint="eastAsia" w:ascii="仿宋_GB2312" w:eastAsia="仿宋_GB2312"/>
          <w:sz w:val="32"/>
          <w:szCs w:val="32"/>
        </w:rPr>
        <w:t>%，</w:t>
      </w:r>
      <w:r>
        <w:rPr>
          <w:rFonts w:hint="eastAsia" w:ascii="仿宋_GB2312" w:eastAsia="仿宋_GB2312"/>
          <w:sz w:val="32"/>
          <w:szCs w:val="32"/>
          <w:lang w:val="en-US" w:eastAsia="zh-CN"/>
        </w:rPr>
        <w:t>增减变化</w:t>
      </w:r>
      <w:r>
        <w:rPr>
          <w:rFonts w:hint="eastAsia" w:ascii="仿宋_GB2312" w:eastAsia="仿宋_GB2312"/>
          <w:sz w:val="32"/>
          <w:szCs w:val="32"/>
        </w:rPr>
        <w:t>的主要原因是：本单位两年度均未安排此项预算。</w:t>
      </w:r>
      <w:bookmarkEnd w:id="44"/>
      <w:bookmarkStart w:id="46" w:name="OLE_LINK23"/>
      <w:bookmarkStart w:id="47" w:name="OLE_LINK70"/>
      <w:r>
        <w:rPr>
          <w:rFonts w:hint="eastAsia" w:ascii="仿宋_GB2312" w:eastAsia="仿宋_GB2312"/>
          <w:color w:val="000000" w:themeColor="text1"/>
          <w:sz w:val="32"/>
          <w:szCs w:val="32"/>
        </w:rPr>
        <w:t>政府性基金预算支出</w:t>
      </w:r>
      <w:bookmarkEnd w:id="46"/>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降低</w:t>
      </w:r>
      <w:r>
        <w:rPr>
          <w:rFonts w:hint="eastAsia" w:ascii="仿宋_GB2312" w:eastAsia="仿宋_GB2312"/>
          <w:sz w:val="32"/>
          <w:szCs w:val="32"/>
          <w:lang w:val="en-US" w:eastAsia="zh-CN"/>
        </w:rPr>
        <w:t>0</w:t>
      </w:r>
      <w:r>
        <w:rPr>
          <w:rFonts w:hint="eastAsia" w:ascii="仿宋_GB2312" w:eastAsia="仿宋_GB2312"/>
          <w:sz w:val="32"/>
          <w:szCs w:val="32"/>
        </w:rPr>
        <w:t>%，</w:t>
      </w:r>
      <w:r>
        <w:rPr>
          <w:rFonts w:hint="eastAsia" w:ascii="仿宋_GB2312" w:eastAsia="仿宋_GB2312"/>
          <w:sz w:val="32"/>
          <w:szCs w:val="32"/>
          <w:lang w:val="en-US" w:eastAsia="zh-CN"/>
        </w:rPr>
        <w:t>增减变化</w:t>
      </w:r>
      <w:r>
        <w:rPr>
          <w:rFonts w:hint="eastAsia" w:ascii="仿宋_GB2312" w:eastAsia="仿宋_GB2312"/>
          <w:sz w:val="32"/>
          <w:szCs w:val="32"/>
        </w:rPr>
        <w:t>的主要原因是：本单位两年度均未安排此项预算。</w:t>
      </w:r>
      <w:bookmarkEnd w:id="47"/>
      <w:r>
        <w:rPr>
          <w:rFonts w:hint="eastAsia" w:ascii="仿宋_GB2312" w:eastAsia="仿宋_GB2312"/>
          <w:color w:val="000000" w:themeColor="text1"/>
          <w:sz w:val="32"/>
          <w:szCs w:val="32"/>
        </w:rPr>
        <w:t>其中：</w:t>
      </w:r>
      <w:bookmarkStart w:id="48" w:name="OLE_LINK24"/>
      <w:r>
        <w:rPr>
          <w:rFonts w:hint="eastAsia" w:ascii="仿宋_GB2312" w:eastAsia="仿宋_GB2312"/>
          <w:color w:val="000000" w:themeColor="text1"/>
          <w:sz w:val="32"/>
          <w:szCs w:val="32"/>
        </w:rPr>
        <w:t>按功能分类科目（按类级科目公开）</w:t>
      </w:r>
      <w:bookmarkEnd w:id="48"/>
      <w:r>
        <w:rPr>
          <w:rFonts w:hint="eastAsia" w:ascii="仿宋_GB2312" w:eastAsia="仿宋_GB2312"/>
          <w:color w:val="000000" w:themeColor="text1"/>
          <w:sz w:val="32"/>
          <w:szCs w:val="32"/>
        </w:rPr>
        <w:t>，</w:t>
      </w:r>
      <w:r>
        <w:rPr>
          <w:rFonts w:hint="eastAsia" w:ascii="仿宋_GB2312" w:eastAsia="仿宋_GB2312"/>
          <w:color w:val="000000" w:themeColor="text1"/>
          <w:sz w:val="32"/>
          <w:szCs w:val="32"/>
          <w:lang w:val="en-US" w:eastAsia="zh-CN"/>
        </w:rPr>
        <w:t>0万元</w:t>
      </w:r>
      <w:r>
        <w:rPr>
          <w:rFonts w:hint="eastAsia" w:ascii="仿宋_GB2312" w:eastAsia="仿宋_GB2312"/>
          <w:color w:val="000000" w:themeColor="text1"/>
          <w:sz w:val="32"/>
          <w:szCs w:val="32"/>
        </w:rPr>
        <w:t>。按经济分类科目（按类级科目公开），</w:t>
      </w:r>
      <w:r>
        <w:rPr>
          <w:rFonts w:hint="eastAsia" w:ascii="仿宋_GB2312" w:eastAsia="仿宋_GB2312"/>
          <w:color w:val="000000" w:themeColor="text1"/>
          <w:sz w:val="32"/>
          <w:szCs w:val="32"/>
          <w:lang w:val="en-US" w:eastAsia="zh-CN"/>
        </w:rPr>
        <w:t>0万元</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color w:val="000000" w:themeColor="text1"/>
          <w:sz w:val="32"/>
          <w:szCs w:val="32"/>
        </w:rPr>
      </w:pPr>
      <w:bookmarkStart w:id="49" w:name="OLE_LINK72"/>
      <w:bookmarkStart w:id="50" w:name="OLE_LINK71"/>
      <w:r>
        <w:rPr>
          <w:rFonts w:hint="eastAsia" w:ascii="仿宋_GB2312" w:eastAsia="仿宋_GB2312"/>
          <w:color w:val="000000" w:themeColor="text1"/>
          <w:sz w:val="32"/>
          <w:szCs w:val="32"/>
        </w:rPr>
        <w:t>与年初预算数相比情况：政府性基金预算财政拨款收入年初预算数0万元，决算数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，预决算差异率0%，差异主要原因是本单位未安排此项预算。</w:t>
      </w:r>
      <w:bookmarkEnd w:id="49"/>
      <w:bookmarkEnd w:id="50"/>
      <w:bookmarkStart w:id="51" w:name="OLE_LINK73"/>
      <w:r>
        <w:rPr>
          <w:rFonts w:hint="eastAsia" w:ascii="仿宋_GB2312" w:eastAsia="仿宋_GB2312"/>
          <w:color w:val="000000" w:themeColor="text1"/>
          <w:sz w:val="32"/>
          <w:szCs w:val="32"/>
        </w:rPr>
        <w:t>政府性基金预算财政拨款支出年初预算数0万元，决算数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，预决算差异率0%，差异主要原因是本单位未安排此项预算。</w:t>
      </w:r>
      <w:bookmarkEnd w:id="51"/>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三、部门结转结余情况</w:t>
      </w:r>
    </w:p>
    <w:p>
      <w:pPr>
        <w:spacing w:line="540" w:lineRule="exact"/>
        <w:ind w:firstLine="640" w:firstLineChars="200"/>
        <w:rPr>
          <w:rFonts w:ascii="仿宋_GB2312" w:eastAsia="仿宋_GB2312"/>
          <w:color w:val="000000" w:themeColor="text1"/>
          <w:sz w:val="32"/>
          <w:szCs w:val="32"/>
        </w:rPr>
      </w:pPr>
      <w:bookmarkStart w:id="52" w:name="OLE_LINK26"/>
      <w:bookmarkStart w:id="53" w:name="OLE_LINK25"/>
      <w:r>
        <w:rPr>
          <w:rFonts w:hint="eastAsia" w:ascii="仿宋_GB2312" w:eastAsia="仿宋_GB2312"/>
          <w:color w:val="000000" w:themeColor="text1"/>
          <w:sz w:val="32"/>
          <w:szCs w:val="32"/>
        </w:rPr>
        <w:t>年末结转结余</w:t>
      </w:r>
      <w:bookmarkEnd w:id="52"/>
      <w:bookmarkEnd w:id="53"/>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。与上年相比，减少50.04万元，</w:t>
      </w:r>
      <w:r>
        <w:rPr>
          <w:rFonts w:hint="eastAsia" w:ascii="仿宋_GB2312" w:eastAsia="仿宋_GB2312"/>
          <w:sz w:val="32"/>
          <w:szCs w:val="32"/>
          <w:lang w:eastAsia="zh-CN"/>
        </w:rPr>
        <w:t>降低</w:t>
      </w:r>
      <w:r>
        <w:rPr>
          <w:rFonts w:hint="eastAsia" w:ascii="仿宋_GB2312" w:eastAsia="仿宋_GB2312"/>
          <w:sz w:val="32"/>
          <w:szCs w:val="32"/>
        </w:rPr>
        <w:t>100%</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r>
        <w:rPr>
          <w:rFonts w:hint="eastAsia" w:ascii="仿宋_GB2312" w:eastAsia="仿宋_GB2312"/>
          <w:color w:val="000000" w:themeColor="text1"/>
          <w:sz w:val="32"/>
          <w:szCs w:val="32"/>
        </w:rPr>
        <w:t>其中</w:t>
      </w:r>
      <w:bookmarkStart w:id="54" w:name="OLE_LINK28"/>
      <w:bookmarkStart w:id="55" w:name="OLE_LINK27"/>
      <w:r>
        <w:rPr>
          <w:rFonts w:hint="eastAsia" w:ascii="仿宋_GB2312" w:eastAsia="仿宋_GB2312"/>
          <w:color w:val="000000" w:themeColor="text1"/>
          <w:sz w:val="32"/>
          <w:szCs w:val="32"/>
        </w:rPr>
        <w:t>财政拨款结转结余</w:t>
      </w:r>
      <w:bookmarkEnd w:id="54"/>
      <w:bookmarkEnd w:id="55"/>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。与上年相比，减少50.04万元，</w:t>
      </w:r>
      <w:r>
        <w:rPr>
          <w:rFonts w:hint="eastAsia" w:ascii="仿宋_GB2312" w:eastAsia="仿宋_GB2312"/>
          <w:sz w:val="32"/>
          <w:szCs w:val="32"/>
          <w:lang w:eastAsia="zh-CN"/>
        </w:rPr>
        <w:t>降低</w:t>
      </w:r>
      <w:r>
        <w:rPr>
          <w:rFonts w:hint="eastAsia" w:ascii="仿宋_GB2312" w:eastAsia="仿宋_GB2312"/>
          <w:sz w:val="32"/>
          <w:szCs w:val="32"/>
        </w:rPr>
        <w:t>100%。</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四、一般公共预算“三公”经费支出情况</w:t>
      </w:r>
    </w:p>
    <w:p>
      <w:pPr>
        <w:spacing w:line="540" w:lineRule="exact"/>
        <w:ind w:firstLine="640" w:firstLineChars="200"/>
        <w:rPr>
          <w:rFonts w:ascii="仿宋_GB2312" w:eastAsia="仿宋_GB2312"/>
          <w:color w:val="000000" w:themeColor="text1"/>
          <w:sz w:val="32"/>
          <w:szCs w:val="32"/>
        </w:rPr>
      </w:pPr>
      <w:bookmarkStart w:id="56" w:name="OLE_LINK74"/>
      <w:r>
        <w:rPr>
          <w:rFonts w:hint="eastAsia" w:ascii="仿宋_GB2312" w:eastAsia="仿宋_GB2312"/>
          <w:color w:val="000000" w:themeColor="text1"/>
          <w:sz w:val="32"/>
          <w:szCs w:val="32"/>
        </w:rPr>
        <w:t>2018年度</w:t>
      </w:r>
      <w:bookmarkStart w:id="57" w:name="OLE_LINK29"/>
      <w:r>
        <w:rPr>
          <w:rFonts w:hint="eastAsia" w:ascii="仿宋_GB2312" w:eastAsia="仿宋_GB2312"/>
          <w:color w:val="000000" w:themeColor="text1"/>
          <w:sz w:val="32"/>
          <w:szCs w:val="32"/>
        </w:rPr>
        <w:t>一般公共预算“三公”经费支出决算</w:t>
      </w:r>
      <w:bookmarkEnd w:id="57"/>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降低</w:t>
      </w:r>
      <w:r>
        <w:rPr>
          <w:rFonts w:hint="eastAsia" w:ascii="仿宋_GB2312" w:eastAsia="仿宋_GB2312"/>
          <w:sz w:val="32"/>
          <w:szCs w:val="32"/>
          <w:lang w:val="en-US" w:eastAsia="zh-CN"/>
        </w:rPr>
        <w:t>0</w:t>
      </w:r>
      <w:r>
        <w:rPr>
          <w:rFonts w:hint="eastAsia" w:ascii="仿宋_GB2312" w:eastAsia="仿宋_GB2312"/>
          <w:sz w:val="32"/>
          <w:szCs w:val="32"/>
        </w:rPr>
        <w:t>%</w:t>
      </w:r>
      <w:r>
        <w:rPr>
          <w:rFonts w:hint="eastAsia" w:ascii="仿宋_GB2312" w:eastAsia="仿宋_GB2312"/>
          <w:sz w:val="32"/>
          <w:szCs w:val="32"/>
          <w:lang w:eastAsia="zh-CN"/>
        </w:rPr>
        <w:t>，</w:t>
      </w:r>
      <w:r>
        <w:rPr>
          <w:rFonts w:hint="eastAsia" w:ascii="仿宋_GB2312" w:eastAsia="仿宋_GB2312"/>
          <w:sz w:val="32"/>
          <w:szCs w:val="32"/>
          <w:lang w:val="en-US" w:eastAsia="zh-CN"/>
        </w:rPr>
        <w:t>减少</w:t>
      </w:r>
      <w:r>
        <w:rPr>
          <w:rFonts w:hint="eastAsia" w:ascii="仿宋_GB2312" w:eastAsia="仿宋_GB2312"/>
          <w:sz w:val="32"/>
          <w:szCs w:val="32"/>
        </w:rPr>
        <w:t>原因是：本单位两年度均未安排此项预算。</w:t>
      </w:r>
      <w:bookmarkEnd w:id="56"/>
      <w:bookmarkStart w:id="58" w:name="OLE_LINK75"/>
      <w:r>
        <w:rPr>
          <w:rFonts w:hint="eastAsia" w:ascii="仿宋_GB2312" w:eastAsia="仿宋_GB2312"/>
          <w:color w:val="000000" w:themeColor="text1"/>
          <w:sz w:val="32"/>
          <w:szCs w:val="32"/>
        </w:rPr>
        <w:t>其中，</w:t>
      </w:r>
      <w:bookmarkStart w:id="59" w:name="OLE_LINK30"/>
      <w:r>
        <w:rPr>
          <w:rFonts w:hint="eastAsia" w:ascii="仿宋_GB2312" w:eastAsia="仿宋_GB2312"/>
          <w:color w:val="000000" w:themeColor="text1"/>
          <w:sz w:val="32"/>
          <w:szCs w:val="32"/>
        </w:rPr>
        <w:t>因公出国（境）费支出</w:t>
      </w:r>
      <w:bookmarkEnd w:id="5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0%，与上年相比比减少</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降低</w:t>
      </w:r>
      <w:r>
        <w:rPr>
          <w:rFonts w:hint="eastAsia" w:ascii="仿宋_GB2312" w:eastAsia="仿宋_GB2312"/>
          <w:sz w:val="32"/>
          <w:szCs w:val="32"/>
          <w:lang w:val="en-US" w:eastAsia="zh-CN"/>
        </w:rPr>
        <w:t>0</w:t>
      </w:r>
      <w:r>
        <w:rPr>
          <w:rFonts w:hint="eastAsia" w:ascii="仿宋_GB2312" w:eastAsia="仿宋_GB2312"/>
          <w:sz w:val="32"/>
          <w:szCs w:val="32"/>
        </w:rPr>
        <w:t>%</w:t>
      </w:r>
      <w:r>
        <w:rPr>
          <w:rFonts w:hint="eastAsia" w:ascii="仿宋_GB2312" w:eastAsia="仿宋_GB2312"/>
          <w:sz w:val="32"/>
          <w:szCs w:val="32"/>
          <w:lang w:eastAsia="zh-CN"/>
        </w:rPr>
        <w:t>，</w:t>
      </w:r>
      <w:r>
        <w:rPr>
          <w:rFonts w:hint="eastAsia" w:ascii="仿宋_GB2312" w:eastAsia="仿宋_GB2312"/>
          <w:sz w:val="32"/>
          <w:szCs w:val="32"/>
          <w:lang w:val="en-US" w:eastAsia="zh-CN"/>
        </w:rPr>
        <w:t>减少</w:t>
      </w:r>
      <w:r>
        <w:rPr>
          <w:rFonts w:hint="eastAsia" w:ascii="仿宋_GB2312" w:eastAsia="仿宋_GB2312"/>
          <w:sz w:val="32"/>
          <w:szCs w:val="32"/>
        </w:rPr>
        <w:t>原因是：本单位两年度均未安排此项预算；</w:t>
      </w:r>
      <w:bookmarkEnd w:id="58"/>
      <w:bookmarkStart w:id="60" w:name="OLE_LINK31"/>
      <w:bookmarkStart w:id="61" w:name="OLE_LINK76"/>
      <w:r>
        <w:rPr>
          <w:rFonts w:hint="eastAsia" w:ascii="仿宋_GB2312" w:eastAsia="仿宋_GB2312"/>
          <w:color w:val="000000" w:themeColor="text1"/>
          <w:sz w:val="32"/>
          <w:szCs w:val="32"/>
        </w:rPr>
        <w:t>公务用车购置及运行维护费支出</w:t>
      </w:r>
      <w:bookmarkEnd w:id="60"/>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0%，与上年比减少</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降低</w:t>
      </w:r>
      <w:r>
        <w:rPr>
          <w:rFonts w:hint="eastAsia" w:ascii="仿宋_GB2312" w:eastAsia="仿宋_GB2312"/>
          <w:sz w:val="32"/>
          <w:szCs w:val="32"/>
          <w:lang w:val="en-US" w:eastAsia="zh-CN"/>
        </w:rPr>
        <w:t>0</w:t>
      </w:r>
      <w:r>
        <w:rPr>
          <w:rFonts w:hint="eastAsia" w:ascii="仿宋_GB2312" w:eastAsia="仿宋_GB2312"/>
          <w:sz w:val="32"/>
          <w:szCs w:val="32"/>
        </w:rPr>
        <w:t>%</w:t>
      </w:r>
      <w:r>
        <w:rPr>
          <w:rFonts w:hint="eastAsia" w:ascii="仿宋_GB2312" w:eastAsia="仿宋_GB2312"/>
          <w:sz w:val="32"/>
          <w:szCs w:val="32"/>
          <w:lang w:eastAsia="zh-CN"/>
        </w:rPr>
        <w:t>，</w:t>
      </w:r>
      <w:r>
        <w:rPr>
          <w:rFonts w:hint="eastAsia" w:ascii="仿宋_GB2312" w:eastAsia="仿宋_GB2312"/>
          <w:sz w:val="32"/>
          <w:szCs w:val="32"/>
          <w:lang w:val="en-US" w:eastAsia="zh-CN"/>
        </w:rPr>
        <w:t>减少</w:t>
      </w:r>
      <w:r>
        <w:rPr>
          <w:rFonts w:hint="eastAsia" w:ascii="仿宋_GB2312" w:eastAsia="仿宋_GB2312"/>
          <w:sz w:val="32"/>
          <w:szCs w:val="32"/>
        </w:rPr>
        <w:t>原因是：本单位两年度均未安排此项预算；</w:t>
      </w:r>
      <w:bookmarkEnd w:id="61"/>
      <w:bookmarkStart w:id="62" w:name="OLE_LINK32"/>
      <w:bookmarkStart w:id="63" w:name="OLE_LINK78"/>
      <w:bookmarkStart w:id="64" w:name="OLE_LINK77"/>
      <w:r>
        <w:rPr>
          <w:rFonts w:hint="eastAsia" w:ascii="仿宋_GB2312" w:eastAsia="仿宋_GB2312"/>
          <w:color w:val="000000" w:themeColor="text1"/>
          <w:sz w:val="32"/>
          <w:szCs w:val="32"/>
        </w:rPr>
        <w:t>公务接待费支出</w:t>
      </w:r>
      <w:bookmarkEnd w:id="6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0%，与上年相比比减少</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降低</w:t>
      </w:r>
      <w:r>
        <w:rPr>
          <w:rFonts w:hint="eastAsia" w:ascii="仿宋_GB2312" w:eastAsia="仿宋_GB2312"/>
          <w:sz w:val="32"/>
          <w:szCs w:val="32"/>
          <w:lang w:val="en-US" w:eastAsia="zh-CN"/>
        </w:rPr>
        <w:t>0</w:t>
      </w:r>
      <w:r>
        <w:rPr>
          <w:rFonts w:hint="eastAsia" w:ascii="仿宋_GB2312" w:eastAsia="仿宋_GB2312"/>
          <w:sz w:val="32"/>
          <w:szCs w:val="32"/>
        </w:rPr>
        <w:t>%</w:t>
      </w:r>
      <w:r>
        <w:rPr>
          <w:rFonts w:hint="eastAsia" w:ascii="仿宋_GB2312" w:eastAsia="仿宋_GB2312"/>
          <w:sz w:val="32"/>
          <w:szCs w:val="32"/>
          <w:lang w:eastAsia="zh-CN"/>
        </w:rPr>
        <w:t>，</w:t>
      </w:r>
      <w:r>
        <w:rPr>
          <w:rFonts w:hint="eastAsia" w:ascii="仿宋_GB2312" w:eastAsia="仿宋_GB2312"/>
          <w:sz w:val="32"/>
          <w:szCs w:val="32"/>
          <w:lang w:val="en-US" w:eastAsia="zh-CN"/>
        </w:rPr>
        <w:t>减少</w:t>
      </w:r>
      <w:r>
        <w:rPr>
          <w:rFonts w:hint="eastAsia" w:ascii="仿宋_GB2312" w:eastAsia="仿宋_GB2312"/>
          <w:sz w:val="32"/>
          <w:szCs w:val="32"/>
        </w:rPr>
        <w:t>原因是：本单位两年度均未安排此项预算。</w:t>
      </w:r>
      <w:bookmarkEnd w:id="63"/>
      <w:bookmarkEnd w:id="64"/>
      <w:r>
        <w:rPr>
          <w:rFonts w:hint="eastAsia" w:ascii="仿宋_GB2312" w:eastAsia="仿宋_GB2312"/>
          <w:color w:val="000000" w:themeColor="text1"/>
          <w:sz w:val="32"/>
          <w:szCs w:val="32"/>
        </w:rPr>
        <w:t>具体情况如下：</w:t>
      </w:r>
    </w:p>
    <w:p>
      <w:pPr>
        <w:spacing w:line="540" w:lineRule="exact"/>
        <w:ind w:firstLine="640" w:firstLineChars="200"/>
        <w:rPr>
          <w:rFonts w:ascii="仿宋_GB2312" w:eastAsia="仿宋_GB2312"/>
          <w:color w:val="000000" w:themeColor="text1"/>
          <w:sz w:val="32"/>
          <w:szCs w:val="32"/>
        </w:rPr>
      </w:pPr>
      <w:bookmarkStart w:id="65" w:name="OLE_LINK79"/>
      <w:bookmarkStart w:id="66" w:name="OLE_LINK80"/>
      <w:r>
        <w:rPr>
          <w:rFonts w:hint="eastAsia" w:ascii="仿宋_GB2312" w:eastAsia="仿宋_GB2312"/>
          <w:color w:val="000000" w:themeColor="text1"/>
          <w:sz w:val="32"/>
          <w:szCs w:val="32"/>
        </w:rPr>
        <w:t>因公出国（境）费支出</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新疆喀什地区英吉沙县农机管理站</w:t>
      </w:r>
      <w:r>
        <w:rPr>
          <w:rFonts w:hint="eastAsia" w:ascii="仿宋_GB2312" w:eastAsia="仿宋_GB2312"/>
          <w:color w:val="000000" w:themeColor="text1"/>
          <w:sz w:val="32"/>
          <w:szCs w:val="32"/>
        </w:rPr>
        <w:t>单位</w:t>
      </w:r>
      <w:bookmarkStart w:id="67" w:name="OLE_LINK33"/>
      <w:r>
        <w:rPr>
          <w:rFonts w:hint="eastAsia" w:ascii="仿宋_GB2312" w:eastAsia="仿宋_GB2312"/>
          <w:color w:val="000000" w:themeColor="text1"/>
          <w:sz w:val="32"/>
          <w:szCs w:val="32"/>
        </w:rPr>
        <w:t>全年</w:t>
      </w:r>
      <w:bookmarkStart w:id="68" w:name="OLE_LINK35"/>
      <w:bookmarkStart w:id="69" w:name="OLE_LINK34"/>
      <w:bookmarkStart w:id="70" w:name="OLE_LINK36"/>
      <w:r>
        <w:rPr>
          <w:rFonts w:hint="eastAsia" w:ascii="仿宋_GB2312" w:eastAsia="仿宋_GB2312"/>
          <w:color w:val="000000" w:themeColor="text1"/>
          <w:sz w:val="32"/>
          <w:szCs w:val="32"/>
        </w:rPr>
        <w:t>使用一般公共预算财政拨款安排的出国（境）团组</w:t>
      </w:r>
      <w:bookmarkEnd w:id="67"/>
      <w:bookmarkEnd w:id="68"/>
      <w:bookmarkEnd w:id="69"/>
      <w:r>
        <w:rPr>
          <w:rFonts w:hint="eastAsia" w:ascii="仿宋_GB2312" w:eastAsia="仿宋_GB2312"/>
          <w:sz w:val="32"/>
          <w:szCs w:val="32"/>
        </w:rPr>
        <w:t>0</w:t>
      </w:r>
      <w:r>
        <w:rPr>
          <w:rFonts w:hint="eastAsia" w:ascii="仿宋_GB2312" w:eastAsia="仿宋_GB2312"/>
          <w:color w:val="000000" w:themeColor="text1"/>
          <w:sz w:val="32"/>
          <w:szCs w:val="32"/>
        </w:rPr>
        <w:t>个</w:t>
      </w:r>
      <w:bookmarkEnd w:id="70"/>
      <w:r>
        <w:rPr>
          <w:rFonts w:hint="eastAsia" w:ascii="仿宋_GB2312" w:eastAsia="仿宋_GB2312"/>
          <w:color w:val="000000" w:themeColor="text1"/>
          <w:sz w:val="32"/>
          <w:szCs w:val="32"/>
        </w:rPr>
        <w:t>，</w:t>
      </w:r>
      <w:bookmarkStart w:id="71" w:name="OLE_LINK37"/>
      <w:r>
        <w:rPr>
          <w:rFonts w:hint="eastAsia" w:ascii="仿宋_GB2312" w:eastAsia="仿宋_GB2312"/>
          <w:color w:val="000000" w:themeColor="text1"/>
          <w:sz w:val="32"/>
          <w:szCs w:val="32"/>
        </w:rPr>
        <w:t>累计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71"/>
      <w:r>
        <w:rPr>
          <w:rFonts w:hint="eastAsia" w:ascii="仿宋_GB2312" w:eastAsia="仿宋_GB2312"/>
          <w:color w:val="000000" w:themeColor="text1"/>
          <w:sz w:val="32"/>
          <w:szCs w:val="32"/>
        </w:rPr>
        <w:t>。</w:t>
      </w:r>
      <w:bookmarkStart w:id="72" w:name="OLE_LINK38"/>
      <w:r>
        <w:rPr>
          <w:rFonts w:hint="eastAsia" w:ascii="仿宋_GB2312" w:eastAsia="仿宋_GB2312"/>
          <w:color w:val="000000" w:themeColor="text1"/>
          <w:sz w:val="32"/>
          <w:szCs w:val="32"/>
        </w:rPr>
        <w:t>开支内容包括：</w:t>
      </w:r>
      <w:r>
        <w:rPr>
          <w:rFonts w:ascii="仿宋_GB2312" w:eastAsia="仿宋_GB2312"/>
          <w:color w:val="000000" w:themeColor="text1"/>
          <w:sz w:val="32"/>
          <w:szCs w:val="32"/>
        </w:rPr>
        <w:t>本单位未安排此项预算。</w:t>
      </w:r>
      <w:bookmarkEnd w:id="65"/>
      <w:bookmarkEnd w:id="66"/>
      <w:bookmarkEnd w:id="72"/>
    </w:p>
    <w:p>
      <w:pPr>
        <w:spacing w:line="540" w:lineRule="exact"/>
        <w:ind w:firstLine="640" w:firstLineChars="200"/>
        <w:rPr>
          <w:rFonts w:ascii="仿宋_GB2312" w:eastAsia="仿宋_GB2312"/>
          <w:color w:val="000000" w:themeColor="text1"/>
          <w:sz w:val="32"/>
          <w:szCs w:val="32"/>
        </w:rPr>
      </w:pPr>
      <w:bookmarkStart w:id="73" w:name="OLE_LINK81"/>
      <w:r>
        <w:rPr>
          <w:rFonts w:hint="eastAsia" w:ascii="仿宋_GB2312" w:eastAsia="仿宋_GB2312"/>
          <w:color w:val="000000" w:themeColor="text1"/>
          <w:sz w:val="32"/>
          <w:szCs w:val="32"/>
        </w:rPr>
        <w:t>公务用车购置及运行维护费</w:t>
      </w:r>
      <w:r>
        <w:rPr>
          <w:rFonts w:hint="eastAsia" w:ascii="仿宋_GB2312" w:eastAsia="仿宋_GB2312"/>
          <w:sz w:val="32"/>
          <w:szCs w:val="32"/>
        </w:rPr>
        <w:t>0</w:t>
      </w:r>
      <w:r>
        <w:rPr>
          <w:rFonts w:hint="eastAsia" w:ascii="仿宋_GB2312" w:eastAsia="仿宋_GB2312"/>
          <w:color w:val="000000" w:themeColor="text1"/>
          <w:sz w:val="32"/>
          <w:szCs w:val="32"/>
        </w:rPr>
        <w:t>万元,其中，</w:t>
      </w:r>
      <w:bookmarkStart w:id="74" w:name="OLE_LINK39"/>
      <w:r>
        <w:rPr>
          <w:rFonts w:hint="eastAsia" w:ascii="仿宋_GB2312" w:eastAsia="仿宋_GB2312"/>
          <w:color w:val="000000" w:themeColor="text1"/>
          <w:sz w:val="32"/>
          <w:szCs w:val="32"/>
        </w:rPr>
        <w:t>公务用车购置</w:t>
      </w:r>
      <w:r>
        <w:rPr>
          <w:rFonts w:hint="eastAsia" w:ascii="仿宋_GB2312" w:eastAsia="仿宋_GB2312"/>
          <w:sz w:val="32"/>
          <w:szCs w:val="32"/>
        </w:rPr>
        <w:t>0</w:t>
      </w:r>
      <w:r>
        <w:rPr>
          <w:rFonts w:hint="eastAsia" w:ascii="仿宋_GB2312" w:eastAsia="仿宋_GB2312"/>
          <w:color w:val="000000" w:themeColor="text1"/>
          <w:sz w:val="32"/>
          <w:szCs w:val="32"/>
        </w:rPr>
        <w:t>万元</w:t>
      </w:r>
      <w:bookmarkEnd w:id="74"/>
      <w:r>
        <w:rPr>
          <w:rFonts w:hint="eastAsia" w:ascii="仿宋_GB2312" w:eastAsia="仿宋_GB2312"/>
          <w:color w:val="000000" w:themeColor="text1"/>
          <w:sz w:val="32"/>
          <w:szCs w:val="32"/>
        </w:rPr>
        <w:t>，</w:t>
      </w:r>
      <w:bookmarkStart w:id="75" w:name="OLE_LINK40"/>
      <w:bookmarkStart w:id="76" w:name="OLE_LINK41"/>
      <w:r>
        <w:rPr>
          <w:rFonts w:hint="eastAsia" w:ascii="仿宋_GB2312" w:eastAsia="仿宋_GB2312"/>
          <w:color w:val="000000" w:themeColor="text1"/>
          <w:sz w:val="32"/>
          <w:szCs w:val="32"/>
        </w:rPr>
        <w:t>公务用车运行维护费</w:t>
      </w:r>
      <w:r>
        <w:rPr>
          <w:rFonts w:hint="eastAsia" w:ascii="仿宋_GB2312" w:eastAsia="仿宋_GB2312"/>
          <w:sz w:val="32"/>
          <w:szCs w:val="32"/>
        </w:rPr>
        <w:t>0</w:t>
      </w:r>
      <w:r>
        <w:rPr>
          <w:rFonts w:hint="eastAsia" w:ascii="仿宋_GB2312" w:eastAsia="仿宋_GB2312"/>
          <w:color w:val="000000" w:themeColor="text1"/>
          <w:sz w:val="32"/>
          <w:szCs w:val="32"/>
        </w:rPr>
        <w:t>万元</w:t>
      </w:r>
      <w:bookmarkEnd w:id="75"/>
      <w:bookmarkEnd w:id="76"/>
      <w:r>
        <w:rPr>
          <w:rFonts w:hint="eastAsia" w:ascii="仿宋_GB2312" w:eastAsia="仿宋_GB2312"/>
          <w:color w:val="000000" w:themeColor="text1"/>
          <w:sz w:val="32"/>
          <w:szCs w:val="32"/>
        </w:rPr>
        <w:t>。主要用于</w:t>
      </w:r>
      <w:r>
        <w:rPr>
          <w:rFonts w:hint="eastAsia" w:ascii="仿宋_GB2312" w:eastAsia="仿宋_GB2312"/>
          <w:sz w:val="32"/>
          <w:szCs w:val="32"/>
        </w:rPr>
        <w:t>本单位未安排此项预算</w:t>
      </w:r>
      <w:r>
        <w:rPr>
          <w:rFonts w:hint="eastAsia" w:ascii="仿宋_GB2312" w:eastAsia="仿宋_GB2312"/>
          <w:color w:val="000000" w:themeColor="text1"/>
          <w:sz w:val="32"/>
          <w:szCs w:val="32"/>
        </w:rPr>
        <w:t>等。</w:t>
      </w:r>
      <w:bookmarkEnd w:id="73"/>
      <w:bookmarkStart w:id="77" w:name="OLE_LINK82"/>
      <w:r>
        <w:rPr>
          <w:rFonts w:hint="eastAsia" w:ascii="仿宋_GB2312" w:eastAsia="仿宋_GB2312"/>
          <w:color w:val="000000" w:themeColor="text1"/>
          <w:sz w:val="32"/>
          <w:szCs w:val="32"/>
        </w:rPr>
        <w:t>单位一般公共财政拨款安排的公务用车购置量</w:t>
      </w:r>
      <w:r>
        <w:rPr>
          <w:rFonts w:hint="eastAsia" w:ascii="仿宋_GB2312" w:eastAsia="仿宋_GB2312"/>
          <w:sz w:val="32"/>
          <w:szCs w:val="32"/>
        </w:rPr>
        <w:t>0</w:t>
      </w:r>
      <w:r>
        <w:rPr>
          <w:rFonts w:hint="eastAsia" w:ascii="仿宋_GB2312" w:eastAsia="仿宋_GB2312"/>
          <w:color w:val="000000" w:themeColor="text1"/>
          <w:sz w:val="32"/>
          <w:szCs w:val="32"/>
        </w:rPr>
        <w:t>辆，保有量为</w:t>
      </w:r>
      <w:r>
        <w:rPr>
          <w:rFonts w:hint="eastAsia" w:ascii="仿宋_GB2312" w:eastAsia="仿宋_GB2312"/>
          <w:sz w:val="32"/>
          <w:szCs w:val="32"/>
        </w:rPr>
        <w:t>0</w:t>
      </w:r>
      <w:r>
        <w:rPr>
          <w:rFonts w:hint="eastAsia" w:ascii="仿宋_GB2312" w:eastAsia="仿宋_GB2312"/>
          <w:color w:val="000000" w:themeColor="text1"/>
          <w:sz w:val="32"/>
          <w:szCs w:val="32"/>
        </w:rPr>
        <w:t>辆。</w:t>
      </w:r>
      <w:bookmarkEnd w:id="77"/>
    </w:p>
    <w:p>
      <w:pPr>
        <w:spacing w:line="540" w:lineRule="exact"/>
        <w:ind w:firstLine="640" w:firstLineChars="200"/>
        <w:rPr>
          <w:rFonts w:ascii="仿宋_GB2312" w:eastAsia="仿宋_GB2312"/>
          <w:color w:val="000000" w:themeColor="text1"/>
          <w:sz w:val="32"/>
          <w:szCs w:val="32"/>
        </w:rPr>
      </w:pPr>
      <w:bookmarkStart w:id="78" w:name="OLE_LINK83"/>
      <w:r>
        <w:rPr>
          <w:rFonts w:hint="eastAsia" w:ascii="仿宋_GB2312" w:eastAsia="仿宋_GB2312"/>
          <w:color w:val="000000" w:themeColor="text1"/>
          <w:sz w:val="32"/>
          <w:szCs w:val="32"/>
        </w:rPr>
        <w:t>公务接待费</w:t>
      </w:r>
      <w:r>
        <w:rPr>
          <w:rFonts w:hint="eastAsia" w:ascii="仿宋_GB2312" w:eastAsia="仿宋_GB2312"/>
          <w:sz w:val="32"/>
          <w:szCs w:val="32"/>
        </w:rPr>
        <w:t>0</w:t>
      </w:r>
      <w:r>
        <w:rPr>
          <w:rFonts w:hint="eastAsia" w:ascii="仿宋_GB2312" w:eastAsia="仿宋_GB2312"/>
          <w:color w:val="000000" w:themeColor="text1"/>
          <w:sz w:val="32"/>
          <w:szCs w:val="32"/>
        </w:rPr>
        <w:t>万元。具体是：国内公务接待支出</w:t>
      </w:r>
      <w:r>
        <w:rPr>
          <w:rFonts w:hint="eastAsia" w:ascii="仿宋_GB2312" w:eastAsia="仿宋_GB2312"/>
          <w:sz w:val="32"/>
          <w:szCs w:val="32"/>
        </w:rPr>
        <w:t>0</w:t>
      </w:r>
      <w:r>
        <w:rPr>
          <w:rFonts w:hint="eastAsia" w:ascii="仿宋_GB2312" w:eastAsia="仿宋_GB2312"/>
          <w:color w:val="000000" w:themeColor="text1"/>
          <w:sz w:val="32"/>
          <w:szCs w:val="32"/>
        </w:rPr>
        <w:t>万元，主要是</w:t>
      </w:r>
      <w:r>
        <w:rPr>
          <w:rFonts w:hint="eastAsia" w:ascii="仿宋_GB2312" w:eastAsia="仿宋_GB2312"/>
          <w:sz w:val="32"/>
          <w:szCs w:val="32"/>
        </w:rPr>
        <w:t>本单位未安排此项预算</w:t>
      </w:r>
      <w:r>
        <w:rPr>
          <w:rFonts w:hint="eastAsia" w:ascii="仿宋_GB2312" w:eastAsia="仿宋_GB2312"/>
          <w:color w:val="000000" w:themeColor="text1"/>
          <w:sz w:val="32"/>
          <w:szCs w:val="32"/>
        </w:rPr>
        <w:t>等。</w:t>
      </w:r>
      <w:bookmarkEnd w:id="78"/>
      <w:bookmarkStart w:id="79" w:name="OLE_LINK84"/>
      <w:r>
        <w:rPr>
          <w:rFonts w:hint="eastAsia" w:ascii="仿宋_GB2312" w:eastAsia="仿宋_GB2312"/>
          <w:sz w:val="32"/>
          <w:szCs w:val="32"/>
        </w:rPr>
        <w:t>新疆喀什地区英吉沙县农机管理站</w:t>
      </w:r>
      <w:r>
        <w:rPr>
          <w:rFonts w:hint="eastAsia" w:ascii="仿宋_GB2312" w:eastAsia="仿宋_GB2312"/>
          <w:color w:val="000000" w:themeColor="text1"/>
          <w:sz w:val="32"/>
          <w:szCs w:val="32"/>
        </w:rPr>
        <w:t>单位国内公务接待</w:t>
      </w:r>
      <w:r>
        <w:rPr>
          <w:rFonts w:hint="eastAsia" w:ascii="仿宋_GB2312" w:eastAsia="仿宋_GB2312"/>
          <w:sz w:val="32"/>
          <w:szCs w:val="32"/>
        </w:rPr>
        <w:t>0</w:t>
      </w:r>
      <w:r>
        <w:rPr>
          <w:rFonts w:hint="eastAsia" w:ascii="仿宋_GB2312" w:eastAsia="仿宋_GB2312"/>
          <w:color w:val="000000" w:themeColor="text1"/>
          <w:sz w:val="32"/>
          <w:szCs w:val="32"/>
        </w:rPr>
        <w:t>批次，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79"/>
    </w:p>
    <w:p>
      <w:pPr>
        <w:spacing w:line="540" w:lineRule="exact"/>
        <w:ind w:firstLine="640" w:firstLineChars="200"/>
        <w:rPr>
          <w:rFonts w:ascii="仿宋_GB2312" w:hAnsi="宋体" w:eastAsia="仿宋_GB2312" w:cs="宋体"/>
          <w:color w:val="000000" w:themeColor="text1"/>
          <w:kern w:val="0"/>
          <w:sz w:val="32"/>
          <w:szCs w:val="32"/>
        </w:rPr>
      </w:pPr>
      <w:bookmarkStart w:id="80" w:name="OLE_LINK85"/>
      <w:r>
        <w:rPr>
          <w:rFonts w:hint="eastAsia" w:ascii="仿宋_GB2312" w:eastAsia="仿宋_GB2312"/>
          <w:color w:val="000000" w:themeColor="text1"/>
          <w:sz w:val="32"/>
          <w:szCs w:val="32"/>
        </w:rPr>
        <w:t>与年初预算数相比情况：一般公共预算“三公”经费支出年初预算数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，预决算差异率0%，差异主要原因是本单位未安排此项预算。</w:t>
      </w:r>
      <w:bookmarkEnd w:id="80"/>
      <w:bookmarkStart w:id="81" w:name="OLE_LINK86"/>
      <w:bookmarkStart w:id="82" w:name="OLE_LINK87"/>
      <w:r>
        <w:rPr>
          <w:rFonts w:hint="eastAsia" w:ascii="仿宋_GB2312" w:hAnsi="宋体" w:eastAsia="仿宋_GB2312" w:cs="宋体"/>
          <w:color w:val="000000" w:themeColor="text1"/>
          <w:kern w:val="0"/>
          <w:sz w:val="32"/>
          <w:szCs w:val="32"/>
        </w:rPr>
        <w:t>其中：因公出国（境）费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，预决算差异率0%，差异主要原因是本单位未安排此项预算；</w:t>
      </w:r>
      <w:bookmarkEnd w:id="81"/>
      <w:bookmarkEnd w:id="82"/>
      <w:bookmarkStart w:id="83" w:name="OLE_LINK89"/>
      <w:bookmarkStart w:id="84" w:name="OLE_LINK88"/>
      <w:r>
        <w:rPr>
          <w:rFonts w:hint="eastAsia" w:ascii="仿宋_GB2312" w:hAnsi="宋体" w:eastAsia="仿宋_GB2312" w:cs="宋体"/>
          <w:color w:val="000000" w:themeColor="text1"/>
          <w:kern w:val="0"/>
          <w:sz w:val="32"/>
          <w:szCs w:val="32"/>
        </w:rPr>
        <w:t>公务用车购置</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，预决算差异率0%，差异主要原因是本单位未安排此项预算；</w:t>
      </w:r>
      <w:bookmarkEnd w:id="83"/>
      <w:bookmarkEnd w:id="84"/>
      <w:bookmarkStart w:id="85" w:name="OLE_LINK90"/>
      <w:r>
        <w:rPr>
          <w:rFonts w:hint="eastAsia" w:ascii="仿宋_GB2312" w:hAnsi="宋体" w:eastAsia="仿宋_GB2312" w:cs="宋体"/>
          <w:color w:val="000000" w:themeColor="text1"/>
          <w:kern w:val="0"/>
          <w:sz w:val="32"/>
          <w:szCs w:val="32"/>
        </w:rPr>
        <w:t>公务用车运行费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，预决算差异率0%，差异主要原因是本单位未安排此项预算；</w:t>
      </w:r>
      <w:bookmarkEnd w:id="85"/>
      <w:bookmarkStart w:id="86" w:name="OLE_LINK91"/>
      <w:r>
        <w:rPr>
          <w:rFonts w:hint="eastAsia" w:ascii="仿宋_GB2312" w:hAnsi="宋体" w:eastAsia="仿宋_GB2312" w:cs="宋体"/>
          <w:color w:val="000000" w:themeColor="text1"/>
          <w:kern w:val="0"/>
          <w:sz w:val="32"/>
          <w:szCs w:val="32"/>
        </w:rPr>
        <w:t>公务接待费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w:t>
      </w:r>
      <w:bookmarkEnd w:id="86"/>
      <w:r>
        <w:rPr>
          <w:rFonts w:ascii="仿宋_GB2312" w:eastAsia="仿宋_GB2312"/>
          <w:color w:val="000000" w:themeColor="text1"/>
          <w:sz w:val="32"/>
          <w:szCs w:val="32"/>
        </w:rPr>
        <w:t>本单位未安排此项预算。</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五、机关运行经费支出情况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新疆喀什地区英吉沙县农机管理站日常公用经费4.01万元，与上年相比，减少1.09万元，</w:t>
      </w:r>
      <w:r>
        <w:rPr>
          <w:rFonts w:hint="eastAsia" w:ascii="仿宋_GB2312" w:eastAsia="仿宋_GB2312"/>
          <w:color w:val="000000" w:themeColor="text1"/>
          <w:sz w:val="32"/>
          <w:szCs w:val="32"/>
          <w:lang w:eastAsia="zh-CN"/>
        </w:rPr>
        <w:t>降低</w:t>
      </w:r>
      <w:r>
        <w:rPr>
          <w:rFonts w:hint="eastAsia" w:ascii="仿宋_GB2312" w:eastAsia="仿宋_GB2312"/>
          <w:color w:val="000000" w:themeColor="text1"/>
          <w:sz w:val="32"/>
          <w:szCs w:val="32"/>
        </w:rPr>
        <w:t>21.37%，减少的主要原因是：落实中央政策，压缩经费，节约开支。</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六、政府采购情况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w:t>
      </w:r>
      <w:bookmarkStart w:id="87" w:name="OLE_LINK45"/>
      <w:r>
        <w:rPr>
          <w:rFonts w:hint="eastAsia" w:ascii="仿宋_GB2312" w:eastAsia="仿宋_GB2312"/>
          <w:color w:val="000000" w:themeColor="text1"/>
          <w:sz w:val="32"/>
          <w:szCs w:val="32"/>
        </w:rPr>
        <w:t>政府采购支出总额</w:t>
      </w:r>
      <w:bookmarkEnd w:id="87"/>
      <w:r>
        <w:rPr>
          <w:rFonts w:hint="eastAsia" w:ascii="仿宋_GB2312" w:eastAsia="仿宋_GB2312"/>
          <w:sz w:val="32"/>
          <w:szCs w:val="32"/>
        </w:rPr>
        <w:t>283.27</w:t>
      </w:r>
      <w:r>
        <w:rPr>
          <w:rFonts w:hint="eastAsia" w:ascii="仿宋_GB2312" w:eastAsia="仿宋_GB2312"/>
          <w:color w:val="000000" w:themeColor="text1"/>
          <w:sz w:val="32"/>
          <w:szCs w:val="32"/>
        </w:rPr>
        <w:t>万元，其中：</w:t>
      </w:r>
      <w:bookmarkStart w:id="88" w:name="OLE_LINK46"/>
      <w:r>
        <w:rPr>
          <w:rFonts w:hint="eastAsia" w:ascii="仿宋_GB2312" w:eastAsia="仿宋_GB2312"/>
          <w:color w:val="000000" w:themeColor="text1"/>
          <w:sz w:val="32"/>
          <w:szCs w:val="32"/>
        </w:rPr>
        <w:t>政府采购货物支出</w:t>
      </w:r>
      <w:bookmarkEnd w:id="88"/>
      <w:r>
        <w:rPr>
          <w:rFonts w:hint="eastAsia" w:ascii="仿宋_GB2312" w:eastAsia="仿宋_GB2312"/>
          <w:sz w:val="32"/>
          <w:szCs w:val="32"/>
        </w:rPr>
        <w:t>283.27</w:t>
      </w:r>
      <w:r>
        <w:rPr>
          <w:rFonts w:hint="eastAsia" w:ascii="仿宋_GB2312" w:eastAsia="仿宋_GB2312"/>
          <w:color w:val="000000" w:themeColor="text1"/>
          <w:sz w:val="32"/>
          <w:szCs w:val="32"/>
        </w:rPr>
        <w:t>万元、</w:t>
      </w:r>
      <w:bookmarkStart w:id="89" w:name="OLE_LINK47"/>
      <w:r>
        <w:rPr>
          <w:rFonts w:hint="eastAsia" w:ascii="仿宋_GB2312" w:eastAsia="仿宋_GB2312"/>
          <w:color w:val="000000" w:themeColor="text1"/>
          <w:sz w:val="32"/>
          <w:szCs w:val="32"/>
        </w:rPr>
        <w:t>政府采购工程支出</w:t>
      </w:r>
      <w:bookmarkEnd w:id="89"/>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90" w:name="OLE_LINK48"/>
      <w:r>
        <w:rPr>
          <w:rFonts w:hint="eastAsia" w:ascii="仿宋_GB2312" w:eastAsia="仿宋_GB2312"/>
          <w:color w:val="000000" w:themeColor="text1"/>
          <w:sz w:val="32"/>
          <w:szCs w:val="32"/>
        </w:rPr>
        <w:t>政府采购服务支出</w:t>
      </w:r>
      <w:bookmarkEnd w:id="90"/>
      <w:r>
        <w:rPr>
          <w:rFonts w:hint="eastAsia" w:ascii="仿宋_GB2312" w:eastAsia="仿宋_GB2312"/>
          <w:sz w:val="32"/>
          <w:szCs w:val="32"/>
        </w:rPr>
        <w:t>0</w:t>
      </w:r>
      <w:r>
        <w:rPr>
          <w:rFonts w:hint="eastAsia" w:ascii="仿宋_GB2312" w:eastAsia="仿宋_GB2312"/>
          <w:color w:val="000000" w:themeColor="text1"/>
          <w:sz w:val="32"/>
          <w:szCs w:val="32"/>
        </w:rPr>
        <w:t>万元。</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七、其他重要事项的情况</w:t>
      </w:r>
    </w:p>
    <w:p>
      <w:pPr>
        <w:spacing w:line="540" w:lineRule="exact"/>
        <w:ind w:firstLine="643" w:firstLineChars="200"/>
        <w:rPr>
          <w:rFonts w:ascii="楷体_GB2312" w:eastAsia="楷体_GB2312"/>
          <w:b/>
          <w:bCs/>
          <w:color w:val="000000" w:themeColor="text1"/>
          <w:sz w:val="32"/>
          <w:szCs w:val="32"/>
        </w:rPr>
      </w:pPr>
      <w:r>
        <w:rPr>
          <w:rFonts w:hint="eastAsia" w:ascii="楷体_GB2312" w:eastAsia="楷体_GB2312"/>
          <w:b/>
          <w:bCs/>
          <w:color w:val="000000" w:themeColor="text1"/>
          <w:sz w:val="32"/>
          <w:szCs w:val="32"/>
        </w:rPr>
        <w:t>（一）国有资产占用情况说明</w:t>
      </w:r>
    </w:p>
    <w:p>
      <w:pPr>
        <w:spacing w:line="540" w:lineRule="exact"/>
        <w:ind w:firstLine="640" w:firstLineChars="200"/>
        <w:rPr>
          <w:rFonts w:ascii="仿宋_GB2312" w:eastAsia="仿宋_GB2312"/>
          <w:color w:val="000000" w:themeColor="text1"/>
          <w:sz w:val="32"/>
          <w:szCs w:val="32"/>
        </w:rPr>
      </w:pPr>
      <w:bookmarkStart w:id="91" w:name="OLE_LINK97"/>
      <w:r>
        <w:rPr>
          <w:rFonts w:hint="eastAsia" w:ascii="仿宋_GB2312" w:eastAsia="仿宋_GB2312"/>
          <w:color w:val="000000" w:themeColor="text1"/>
          <w:sz w:val="32"/>
          <w:szCs w:val="32"/>
        </w:rPr>
        <w:t>截至2018年12月31日，单位共有车辆</w:t>
      </w:r>
      <w:r>
        <w:rPr>
          <w:rFonts w:hint="eastAsia" w:ascii="仿宋_GB2312" w:eastAsia="仿宋_GB2312"/>
          <w:sz w:val="32"/>
          <w:szCs w:val="32"/>
        </w:rPr>
        <w:t>0</w:t>
      </w:r>
      <w:r>
        <w:rPr>
          <w:rFonts w:hint="eastAsia" w:ascii="仿宋_GB2312" w:eastAsia="仿宋_GB2312"/>
          <w:color w:val="000000" w:themeColor="text1"/>
          <w:sz w:val="32"/>
          <w:szCs w:val="32"/>
        </w:rPr>
        <w:t>辆，价值</w:t>
      </w:r>
      <w:r>
        <w:rPr>
          <w:rFonts w:hint="eastAsia" w:ascii="仿宋_GB2312" w:eastAsia="仿宋_GB2312"/>
          <w:sz w:val="32"/>
          <w:szCs w:val="32"/>
        </w:rPr>
        <w:t>0</w:t>
      </w:r>
      <w:r>
        <w:rPr>
          <w:rFonts w:hint="eastAsia" w:ascii="仿宋_GB2312" w:eastAsia="仿宋_GB2312"/>
          <w:color w:val="000000" w:themeColor="text1"/>
          <w:sz w:val="32"/>
          <w:szCs w:val="32"/>
        </w:rPr>
        <w:t>万元，其中：部级领导干部用车</w:t>
      </w:r>
      <w:r>
        <w:rPr>
          <w:rFonts w:hint="eastAsia" w:ascii="仿宋_GB2312" w:eastAsia="仿宋_GB2312"/>
          <w:sz w:val="32"/>
          <w:szCs w:val="32"/>
        </w:rPr>
        <w:t>0</w:t>
      </w:r>
      <w:r>
        <w:rPr>
          <w:rFonts w:hint="eastAsia" w:ascii="仿宋_GB2312" w:eastAsia="仿宋_GB2312"/>
          <w:color w:val="000000" w:themeColor="text1"/>
          <w:sz w:val="32"/>
          <w:szCs w:val="32"/>
        </w:rPr>
        <w:t>辆、主要领导干部用车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辆、机要通信用车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辆、应急保障用车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辆、执法执勤用车</w:t>
      </w:r>
      <w:r>
        <w:rPr>
          <w:rFonts w:hint="eastAsia" w:ascii="仿宋_GB2312" w:eastAsia="仿宋_GB2312"/>
          <w:sz w:val="32"/>
          <w:szCs w:val="32"/>
        </w:rPr>
        <w:t>0</w:t>
      </w:r>
      <w:r>
        <w:rPr>
          <w:rFonts w:hint="eastAsia" w:ascii="仿宋_GB2312" w:eastAsia="仿宋_GB2312"/>
          <w:color w:val="000000" w:themeColor="text1"/>
          <w:sz w:val="32"/>
          <w:szCs w:val="32"/>
        </w:rPr>
        <w:t>辆、特种专业技术用车</w:t>
      </w:r>
      <w:r>
        <w:rPr>
          <w:rFonts w:hint="eastAsia" w:ascii="仿宋_GB2312" w:eastAsia="仿宋_GB2312"/>
          <w:sz w:val="32"/>
          <w:szCs w:val="32"/>
        </w:rPr>
        <w:t>0</w:t>
      </w:r>
      <w:r>
        <w:rPr>
          <w:rFonts w:hint="eastAsia" w:ascii="仿宋_GB2312" w:eastAsia="仿宋_GB2312"/>
          <w:color w:val="000000" w:themeColor="text1"/>
          <w:sz w:val="32"/>
          <w:szCs w:val="32"/>
        </w:rPr>
        <w:t>辆、离退休干部用车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辆，其他用车主要是：</w:t>
      </w:r>
      <w:r>
        <w:rPr>
          <w:rFonts w:ascii="仿宋_GB2312" w:eastAsia="仿宋_GB2312"/>
          <w:color w:val="000000" w:themeColor="text1"/>
          <w:sz w:val="32"/>
          <w:szCs w:val="32"/>
        </w:rPr>
        <w:t>无其他用车；</w:t>
      </w:r>
      <w:r>
        <w:rPr>
          <w:rFonts w:hint="eastAsia" w:ascii="仿宋_GB2312" w:eastAsia="仿宋_GB2312"/>
          <w:color w:val="000000" w:themeColor="text1"/>
          <w:sz w:val="32"/>
          <w:szCs w:val="32"/>
        </w:rPr>
        <w:t>单位价值50万元以上通用设备</w:t>
      </w:r>
      <w:r>
        <w:rPr>
          <w:rFonts w:hint="eastAsia" w:ascii="仿宋_GB2312" w:eastAsia="仿宋_GB2312"/>
          <w:sz w:val="32"/>
          <w:szCs w:val="32"/>
        </w:rPr>
        <w:t>0</w:t>
      </w:r>
      <w:r>
        <w:rPr>
          <w:rFonts w:hint="eastAsia" w:ascii="仿宋_GB2312" w:eastAsia="仿宋_GB2312"/>
          <w:color w:val="000000" w:themeColor="text1"/>
          <w:sz w:val="32"/>
          <w:szCs w:val="32"/>
        </w:rPr>
        <w:t>台（套）、单位价值100万元以上专用设备</w:t>
      </w:r>
      <w:r>
        <w:rPr>
          <w:rFonts w:hint="eastAsia" w:ascii="仿宋_GB2312" w:eastAsia="仿宋_GB2312"/>
          <w:sz w:val="32"/>
          <w:szCs w:val="32"/>
        </w:rPr>
        <w:t>0</w:t>
      </w:r>
      <w:r>
        <w:rPr>
          <w:rFonts w:hint="eastAsia" w:ascii="仿宋_GB2312" w:eastAsia="仿宋_GB2312"/>
          <w:color w:val="000000" w:themeColor="text1"/>
          <w:sz w:val="32"/>
          <w:szCs w:val="32"/>
        </w:rPr>
        <w:t>台（套）。</w:t>
      </w:r>
      <w:bookmarkEnd w:id="91"/>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（二）预算绩效情况的说明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2018年度，本部门单位预算绩效自评情况：</w:t>
      </w:r>
      <w:r>
        <w:rPr>
          <w:rFonts w:ascii="仿宋_GB2312" w:eastAsia="仿宋_GB2312"/>
          <w:sz w:val="32"/>
          <w:szCs w:val="32"/>
        </w:rPr>
        <w:t>本年度开展预算绩效管理和绩效自评工作，以强化单位职能为核心，通过建立科学合理的绩效机制，客观准确的评价我单位项目支出绩效，不断完善绩效评价体系，加强监督检查和考核工作。我单位在实际执行过程中注重结果导向、强调成本效益、硬化责任约束，不断加强绩效管理队伍建设，提升业务素质，提高预算管理水平和政策实施效果，实现预算和绩效管理一体，着力提高财政资源配置效率和使用效益，全面提升我单位公共服务水平。
英吉沙县农机管理站2018年度部门预算总额为</w:t>
      </w:r>
      <w:r>
        <w:rPr>
          <w:rFonts w:hint="eastAsia" w:ascii="仿宋_GB2312" w:eastAsia="仿宋_GB2312"/>
          <w:sz w:val="32"/>
          <w:szCs w:val="32"/>
        </w:rPr>
        <w:t>433.05</w:t>
      </w:r>
      <w:r>
        <w:rPr>
          <w:rFonts w:ascii="仿宋_GB2312" w:eastAsia="仿宋_GB2312"/>
          <w:sz w:val="32"/>
          <w:szCs w:val="32"/>
        </w:rPr>
        <w:t>万元，执行金额为</w:t>
      </w:r>
      <w:r>
        <w:rPr>
          <w:rFonts w:hint="eastAsia" w:ascii="仿宋_GB2312" w:eastAsia="仿宋_GB2312"/>
          <w:sz w:val="32"/>
          <w:szCs w:val="32"/>
        </w:rPr>
        <w:t>433.05</w:t>
      </w:r>
      <w:r>
        <w:rPr>
          <w:rFonts w:ascii="仿宋_GB2312" w:eastAsia="仿宋_GB2312"/>
          <w:sz w:val="32"/>
          <w:szCs w:val="32"/>
        </w:rPr>
        <w:t>万元，预算执行率为100%。本次自评共涉及项目数2个，其中已完成项目2个、未完成项目0个，项目总体完成率为100%，各项目支出管理过程较为规范，预期绩效目标完成情况良好。通过本次自评全面总结了项目实施过程中的经验及不足，为2019年度预算绩效管理工作开展奠定基础。</w:t>
      </w:r>
    </w:p>
    <w:p>
      <w:pPr>
        <w:spacing w:line="540" w:lineRule="exact"/>
        <w:ind w:left="-1" w:right="-1" w:firstLine="646"/>
        <w:jc w:val="left"/>
      </w:pPr>
      <w:r>
        <w:rPr>
          <w:rFonts w:ascii="仿宋_GB2312" w:hAnsi="仿宋_GB2312" w:eastAsia="仿宋_GB2312" w:cs="仿宋_GB2312"/>
          <w:b w:val="0"/>
          <w:color w:val="000000"/>
          <w:sz w:val="32"/>
          <w:u w:val="none"/>
        </w:rPr>
        <w:t>1、农机购置项目绩效自评综述：根据年初设定的绩效目标，该项目绩效自评得分为</w:t>
      </w:r>
      <w:r>
        <w:rPr>
          <w:rFonts w:hint="eastAsia" w:ascii="仿宋_GB2312" w:hAnsi="仿宋_GB2312" w:eastAsia="仿宋_GB2312" w:cs="仿宋_GB2312"/>
          <w:b w:val="0"/>
          <w:color w:val="000000"/>
          <w:sz w:val="32"/>
          <w:u w:val="none"/>
          <w:lang w:val="en-US" w:eastAsia="zh-CN"/>
        </w:rPr>
        <w:t>80</w:t>
      </w:r>
      <w:r>
        <w:rPr>
          <w:rFonts w:ascii="仿宋_GB2312" w:hAnsi="仿宋_GB2312" w:eastAsia="仿宋_GB2312" w:cs="仿宋_GB2312"/>
          <w:b w:val="0"/>
          <w:color w:val="000000"/>
          <w:sz w:val="32"/>
          <w:u w:val="none"/>
        </w:rPr>
        <w:t>分。项目全年预算数为317万元，执行数为317万元，完成预算的100%。主要产出和效果：截止目前，项目资金已269.57万元，剩余资金为工程质保金，项目完成质量较好，项项目已实施完毕，效益指标完成情况分析。新建农机合作社短时间内无收入，将尽快发挥作用，增加收入，项目实施得到了当地群众的认可，有利于社会经济发展。发现的问题及原因：无。下一步改进措施：加大宣传力度，提高老百姓的认识，鼓励并建议大家合理使用机械；加大宣传力度，工作队加强宣传引导。并且加大对技术人员的培养。</w:t>
      </w:r>
    </w:p>
    <w:p>
      <w:pPr>
        <w:spacing w:line="540" w:lineRule="exact"/>
        <w:ind w:left="-1" w:right="-1" w:firstLine="646"/>
        <w:jc w:val="left"/>
      </w:pPr>
      <w:r>
        <w:rPr>
          <w:rFonts w:ascii="仿宋_GB2312" w:hAnsi="仿宋_GB2312" w:eastAsia="仿宋_GB2312" w:cs="仿宋_GB2312"/>
          <w:b w:val="0"/>
          <w:color w:val="000000"/>
          <w:sz w:val="32"/>
          <w:u w:val="none"/>
        </w:rPr>
        <w:t>2、2018年农机深松作业补助资金项目绩效自评综述：根据年初设定的绩效目标，该项目绩效自评得分为</w:t>
      </w:r>
      <w:r>
        <w:rPr>
          <w:rFonts w:hint="eastAsia" w:ascii="仿宋_GB2312" w:hAnsi="仿宋_GB2312" w:eastAsia="仿宋_GB2312" w:cs="仿宋_GB2312"/>
          <w:b w:val="0"/>
          <w:color w:val="000000"/>
          <w:sz w:val="32"/>
          <w:u w:val="none"/>
          <w:lang w:val="en-US" w:eastAsia="zh-CN"/>
        </w:rPr>
        <w:t>97</w:t>
      </w:r>
      <w:bookmarkStart w:id="92" w:name="_GoBack"/>
      <w:bookmarkEnd w:id="92"/>
      <w:r>
        <w:rPr>
          <w:rFonts w:ascii="仿宋_GB2312" w:hAnsi="仿宋_GB2312" w:eastAsia="仿宋_GB2312" w:cs="仿宋_GB2312"/>
          <w:b w:val="0"/>
          <w:color w:val="000000"/>
          <w:sz w:val="32"/>
          <w:u w:val="none"/>
        </w:rPr>
        <w:t>分。项目全年预算数为116.05万元，执行数为116.05万元，完成预算的100%。主要产出和效果：促进补贴与耕地地力保护挂钩，提高耕地地力水平；实施耕地质量保护与提升行动，推进土地整治，增加深松土地，保障粮食安全和主要农产品供给；加快深松作业技术和机具的推广应用，为农业增效、农民增收打牢基础，为农业可持续发展创造有利条件。发现的问题及原因：无。下一步改进措施：确保达到每一季度结算一次，结合春耕、三夏、秋翻冬灌及时进行兑付。加强对实施深松作业农机手的监督，对未达标面积较多或重叠面积较多的拖拉机手及时进行通知，及时整改。</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exact"/>
        <w:ind w:firstLine="646"/>
        <w:jc w:val="left"/>
        <w:rPr>
          <w:rFonts w:ascii="仿宋_GB2312" w:eastAsia="仿宋_GB2312"/>
          <w:sz w:val="32"/>
          <w:szCs w:val="32"/>
        </w:rPr>
      </w:pPr>
      <w:r>
        <w:rPr>
          <w:rFonts w:hint="eastAsia" w:ascii="仿宋_GB2312" w:eastAsia="仿宋_GB2312"/>
          <w:sz w:val="32"/>
          <w:szCs w:val="32"/>
        </w:rPr>
        <w:t>有关项目自评情况可附项目支出绩效自评表。</w:t>
      </w:r>
    </w:p>
    <w:p>
      <w:pPr>
        <w:spacing w:line="540" w:lineRule="exact"/>
        <w:jc w:val="center"/>
        <w:rPr>
          <w:rFonts w:ascii="黑体" w:hAnsi="黑体" w:eastAsia="黑体"/>
          <w:sz w:val="32"/>
          <w:szCs w:val="32"/>
        </w:rPr>
      </w:pPr>
      <w:r>
        <w:rPr>
          <w:rFonts w:hint="eastAsia" w:ascii="黑体" w:hAnsi="黑体" w:eastAsia="黑体"/>
          <w:sz w:val="32"/>
          <w:szCs w:val="32"/>
        </w:rPr>
        <w:t>第三部分 专业名词解释</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40" w:lineRule="exact"/>
        <w:ind w:firstLine="640" w:firstLineChars="200"/>
        <w:rPr>
          <w:rFonts w:ascii="仿宋_GB2312" w:hAnsi="Calibri" w:eastAsia="仿宋_GB2312"/>
          <w:color w:val="000000" w:themeColor="text1"/>
          <w:sz w:val="32"/>
          <w:szCs w:val="32"/>
          <w:lang w:val="en-GB"/>
        </w:rPr>
      </w:pPr>
      <w:r>
        <w:rPr>
          <w:rFonts w:hint="eastAsia" w:ascii="仿宋_GB2312" w:eastAsia="仿宋_GB2312"/>
          <w:color w:val="000000" w:themeColor="text1"/>
          <w:sz w:val="32"/>
          <w:szCs w:val="32"/>
        </w:rPr>
        <w:t>本单位支出功能分类说明</w:t>
      </w:r>
      <w:r>
        <w:rPr>
          <w:rFonts w:hint="eastAsia" w:ascii="仿宋_GB2312" w:hAnsi="Calibri" w:eastAsia="仿宋_GB2312"/>
          <w:color w:val="000000" w:themeColor="text1"/>
          <w:sz w:val="32"/>
          <w:szCs w:val="32"/>
          <w:lang w:val="en-GB"/>
        </w:rPr>
        <w:t>。</w:t>
      </w:r>
      <w:r>
        <w:rPr>
          <w:rFonts w:hint="eastAsia" w:ascii="仿宋_GB2312" w:eastAsia="仿宋_GB2312"/>
          <w:sz w:val="32"/>
          <w:szCs w:val="32"/>
        </w:rPr>
        <w:t>213（类）01（款）04（项）指：事业运行。213（类）05（款）05（项）指：生产发展。221（类）02（款）01（项）指：住房公积金。213（类）01（款）10（项）指：执法监管。208（类）05（款）05（项）指：机关事业单位基本养老保险缴费支出。213（类）01（款）22（项）指：农业生产支持补贴。</w:t>
      </w:r>
    </w:p>
    <w:p>
      <w:pPr>
        <w:spacing w:line="540" w:lineRule="exact"/>
        <w:ind w:firstLine="640" w:firstLineChars="200"/>
        <w:rPr>
          <w:rFonts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spacing w:line="540" w:lineRule="exact"/>
        <w:ind w:firstLine="643" w:firstLineChars="200"/>
        <w:rPr>
          <w:rFonts w:ascii="仿宋_GB2312" w:eastAsia="仿宋_GB2312"/>
          <w:b/>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第四部分 部门决算公开的8张报表（见附表）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firstLine="640" w:firstLineChars="200"/>
        <w:rPr>
          <w:rFonts w:hint="eastAsia" w:ascii="仿宋_GB2312" w:eastAsia="仿宋_GB2312"/>
          <w:sz w:val="32"/>
          <w:szCs w:val="32"/>
        </w:rPr>
      </w:pPr>
      <w:r>
        <w:rPr>
          <w:rFonts w:hint="eastAsia" w:ascii="仿宋_GB2312" w:hAnsi="宋体" w:eastAsia="仿宋_GB2312"/>
          <w:sz w:val="32"/>
          <w:szCs w:val="32"/>
        </w:rPr>
        <w:t>八、</w:t>
      </w:r>
      <w:r>
        <w:rPr>
          <w:rFonts w:hint="eastAsia" w:ascii="仿宋_GB2312" w:eastAsia="仿宋_GB2312"/>
          <w:sz w:val="32"/>
          <w:szCs w:val="32"/>
        </w:rPr>
        <w:t>《政府性基金预算财政拨款收入支出决算表》</w:t>
      </w:r>
    </w:p>
    <w:p>
      <w:pPr>
        <w:spacing w:line="540" w:lineRule="exact"/>
        <w:ind w:firstLine="640" w:firstLineChars="200"/>
        <w:rPr>
          <w:rFonts w:hint="eastAsia" w:ascii="仿宋_GB2312" w:eastAsia="仿宋_GB2312"/>
          <w:sz w:val="32"/>
          <w:szCs w:val="32"/>
        </w:rPr>
      </w:pPr>
    </w:p>
    <w:p>
      <w:pPr>
        <w:spacing w:line="540" w:lineRule="exact"/>
        <w:ind w:firstLine="640" w:firstLineChars="200"/>
        <w:rPr>
          <w:rFonts w:hint="eastAsia" w:ascii="仿宋_GB2312" w:eastAsia="仿宋_GB2312"/>
          <w:sz w:val="32"/>
          <w:szCs w:val="32"/>
        </w:rPr>
      </w:pPr>
    </w:p>
    <w:p>
      <w:pPr>
        <w:spacing w:line="540" w:lineRule="exact"/>
        <w:rPr>
          <w:rFonts w:hint="eastAsia" w:ascii="仿宋_GB2312" w:eastAsia="仿宋_GB2312"/>
          <w:sz w:val="32"/>
          <w:szCs w:val="32"/>
        </w:rPr>
      </w:pPr>
    </w:p>
    <w:p>
      <w:pPr>
        <w:spacing w:line="540" w:lineRule="exact"/>
        <w:ind w:firstLine="640" w:firstLineChars="200"/>
        <w:rPr>
          <w:rFonts w:hint="eastAsia" w:ascii="仿宋_GB2312" w:eastAsia="仿宋_GB2312"/>
          <w:sz w:val="32"/>
          <w:szCs w:val="32"/>
        </w:rPr>
      </w:pPr>
    </w:p>
    <w:p>
      <w:pPr>
        <w:keepNext w:val="0"/>
        <w:keepLines w:val="0"/>
        <w:pageBreakBefore w:val="0"/>
        <w:widowControl w:val="0"/>
        <w:kinsoku/>
        <w:wordWrap/>
        <w:overflowPunct/>
        <w:topLinePunct w:val="0"/>
        <w:autoSpaceDE/>
        <w:autoSpaceDN/>
        <w:bidi w:val="0"/>
        <w:adjustRightInd/>
        <w:snapToGrid/>
        <w:spacing w:line="540" w:lineRule="exact"/>
        <w:ind w:firstLine="3520" w:firstLineChars="1100"/>
        <w:jc w:val="center"/>
        <w:textAlignment w:val="auto"/>
        <w:outlineLvl w:val="9"/>
        <w:rPr>
          <w:rFonts w:ascii="仿宋_GB2312" w:eastAsia="仿宋_GB2312"/>
          <w:sz w:val="32"/>
          <w:szCs w:val="32"/>
        </w:rPr>
      </w:pPr>
      <w:r>
        <w:rPr>
          <w:rFonts w:ascii="仿宋_GB2312" w:eastAsia="仿宋_GB2312"/>
          <w:sz w:val="32"/>
          <w:szCs w:val="32"/>
        </w:rPr>
        <w:t>英吉沙县农机管理站</w:t>
      </w:r>
    </w:p>
    <w:p>
      <w:pPr>
        <w:keepNext w:val="0"/>
        <w:keepLines w:val="0"/>
        <w:pageBreakBefore w:val="0"/>
        <w:widowControl w:val="0"/>
        <w:kinsoku/>
        <w:wordWrap/>
        <w:overflowPunct/>
        <w:topLinePunct w:val="0"/>
        <w:autoSpaceDE/>
        <w:autoSpaceDN/>
        <w:bidi w:val="0"/>
        <w:adjustRightInd/>
        <w:snapToGrid/>
        <w:spacing w:line="540" w:lineRule="exact"/>
        <w:ind w:firstLine="3520" w:firstLineChars="1100"/>
        <w:jc w:val="center"/>
        <w:textAlignment w:val="auto"/>
        <w:outlineLvl w:val="9"/>
        <w:rPr>
          <w:rFonts w:hint="eastAsia" w:ascii="仿宋_GB2312" w:eastAsia="仿宋_GB2312"/>
          <w:sz w:val="32"/>
          <w:szCs w:val="32"/>
          <w:lang w:val="en-US" w:eastAsia="zh-CN"/>
        </w:rPr>
        <w:sectPr>
          <w:footerReference r:id="rId3" w:type="default"/>
          <w:footerReference r:id="rId4" w:type="even"/>
          <w:pgSz w:w="11906" w:h="16838"/>
          <w:pgMar w:top="2041" w:right="1276" w:bottom="2041" w:left="1276" w:header="851" w:footer="1814" w:gutter="0"/>
          <w:pgNumType w:fmt="numberInDash"/>
          <w:cols w:space="425" w:num="1"/>
          <w:docGrid w:type="lines" w:linePitch="435" w:charSpace="-1675"/>
        </w:sectPr>
      </w:pPr>
      <w:r>
        <w:rPr>
          <w:rFonts w:hint="eastAsia" w:ascii="仿宋_GB2312" w:eastAsia="仿宋_GB2312"/>
          <w:sz w:val="32"/>
          <w:szCs w:val="32"/>
          <w:lang w:val="en-US" w:eastAsia="zh-CN"/>
        </w:rPr>
        <w:t>2019年8月15日</w:t>
      </w:r>
    </w:p>
    <w:p>
      <w:pPr>
        <w:spacing w:line="540" w:lineRule="exact"/>
        <w:ind w:firstLine="640" w:firstLineChars="200"/>
        <w:rPr>
          <w:rFonts w:hint="eastAsia" w:ascii="仿宋_GB2312" w:eastAsia="仿宋_GB2312"/>
          <w:sz w:val="32"/>
          <w:szCs w:val="32"/>
        </w:rPr>
        <w:sectPr>
          <w:footerReference r:id="rId5" w:type="default"/>
          <w:footerReference r:id="rId6" w:type="even"/>
          <w:pgSz w:w="11906" w:h="16838"/>
          <w:pgMar w:top="2041" w:right="1276" w:bottom="2041" w:left="1276" w:header="851" w:footer="1814" w:gutter="0"/>
          <w:pgNumType w:fmt="numberInDash"/>
          <w:cols w:space="425" w:num="1"/>
          <w:docGrid w:type="lines" w:linePitch="435" w:charSpace="-1675"/>
        </w:sectPr>
      </w:pPr>
    </w:p>
    <w:p>
      <w:pPr>
        <w:spacing w:line="540" w:lineRule="exact"/>
        <w:rPr>
          <w:rFonts w:ascii="仿宋_GB2312"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9631" w:y="37"/>
      <w:jc w:val="right"/>
      <w:rPr>
        <w:rStyle w:val="9"/>
        <w:rFonts w:ascii="宋体" w:hAnsi="宋体" w:eastAsia="宋体"/>
        <w:sz w:val="28"/>
      </w:rPr>
    </w:pPr>
    <w:r>
      <w:rPr>
        <w:rStyle w:val="9"/>
        <w:rFonts w:ascii="宋体" w:hAnsi="宋体" w:eastAsia="宋体"/>
        <w:sz w:val="28"/>
      </w:rPr>
      <w:fldChar w:fldCharType="begin"/>
    </w:r>
    <w:r>
      <w:rPr>
        <w:rStyle w:val="9"/>
        <w:rFonts w:ascii="宋体" w:hAnsi="宋体" w:eastAsia="宋体"/>
        <w:sz w:val="28"/>
      </w:rPr>
      <w:instrText xml:space="preserve"> PAGE </w:instrText>
    </w:r>
    <w:r>
      <w:rPr>
        <w:rStyle w:val="9"/>
        <w:rFonts w:ascii="宋体" w:hAnsi="宋体" w:eastAsia="宋体"/>
        <w:sz w:val="28"/>
      </w:rPr>
      <w:fldChar w:fldCharType="separate"/>
    </w:r>
    <w:r>
      <w:rPr>
        <w:rStyle w:val="9"/>
        <w:rFonts w:ascii="宋体" w:hAnsi="宋体" w:eastAsia="宋体"/>
        <w:sz w:val="28"/>
      </w:rPr>
      <w:t>- 1 -</w:t>
    </w:r>
    <w:r>
      <w:rPr>
        <w:rStyle w:val="9"/>
        <w:rFonts w:ascii="宋体" w:hAnsi="宋体" w:eastAsia="宋体"/>
        <w:sz w:val="28"/>
      </w:rPr>
      <w:fldChar w:fldCharType="end"/>
    </w:r>
    <w:r>
      <w:rPr>
        <w:rStyle w:val="9"/>
        <w:rFonts w:hint="eastAsia" w:ascii="宋体" w:hAnsi="宋体" w:eastAsia="宋体"/>
        <w:sz w:val="28"/>
      </w:rPr>
      <w:t xml:space="preserve"> </w:t>
    </w:r>
  </w:p>
  <w:p>
    <w:pPr>
      <w:pStyle w:val="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1756" w:y="37"/>
      <w:rPr>
        <w:rStyle w:val="9"/>
        <w:rFonts w:ascii="宋体" w:hAnsi="宋体" w:eastAsia="宋体"/>
        <w:sz w:val="28"/>
        <w:szCs w:val="28"/>
      </w:rPr>
    </w:pPr>
    <w:r>
      <w:rPr>
        <w:rStyle w:val="9"/>
        <w:rFonts w:ascii="宋体" w:hAnsi="宋体" w:eastAsia="宋体"/>
        <w:sz w:val="28"/>
        <w:szCs w:val="28"/>
      </w:rPr>
      <w:fldChar w:fldCharType="begin"/>
    </w:r>
    <w:r>
      <w:rPr>
        <w:rStyle w:val="9"/>
        <w:rFonts w:ascii="宋体" w:hAnsi="宋体" w:eastAsia="宋体"/>
        <w:sz w:val="28"/>
        <w:szCs w:val="28"/>
      </w:rPr>
      <w:instrText xml:space="preserve">PAGE  </w:instrText>
    </w:r>
    <w:r>
      <w:rPr>
        <w:rStyle w:val="9"/>
        <w:rFonts w:ascii="宋体" w:hAnsi="宋体" w:eastAsia="宋体"/>
        <w:sz w:val="28"/>
        <w:szCs w:val="28"/>
      </w:rPr>
      <w:fldChar w:fldCharType="separate"/>
    </w:r>
    <w:r>
      <w:rPr>
        <w:rStyle w:val="9"/>
        <w:rFonts w:ascii="宋体" w:hAnsi="宋体" w:eastAsia="宋体"/>
        <w:sz w:val="28"/>
        <w:szCs w:val="28"/>
      </w:rPr>
      <w:t>- 12 -</w:t>
    </w:r>
    <w:r>
      <w:rPr>
        <w:rStyle w:val="9"/>
        <w:rFonts w:ascii="宋体" w:hAnsi="宋体" w:eastAsia="宋体"/>
        <w:sz w:val="28"/>
        <w:szCs w:val="28"/>
      </w:rPr>
      <w:fldChar w:fldCharType="end"/>
    </w:r>
  </w:p>
  <w:p>
    <w:pPr>
      <w:pStyle w:val="4"/>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9631" w:y="37"/>
      <w:jc w:val="right"/>
      <w:rPr>
        <w:rStyle w:val="9"/>
        <w:rFonts w:ascii="宋体" w:hAnsi="宋体" w:eastAsia="宋体"/>
        <w:sz w:val="28"/>
      </w:rPr>
    </w:pPr>
    <w:r>
      <w:rPr>
        <w:rStyle w:val="9"/>
        <w:rFonts w:ascii="宋体" w:hAnsi="宋体" w:eastAsia="宋体"/>
        <w:sz w:val="28"/>
      </w:rPr>
      <w:fldChar w:fldCharType="begin"/>
    </w:r>
    <w:r>
      <w:rPr>
        <w:rStyle w:val="9"/>
        <w:rFonts w:ascii="宋体" w:hAnsi="宋体" w:eastAsia="宋体"/>
        <w:sz w:val="28"/>
      </w:rPr>
      <w:instrText xml:space="preserve"> PAGE </w:instrText>
    </w:r>
    <w:r>
      <w:rPr>
        <w:rStyle w:val="9"/>
        <w:rFonts w:ascii="宋体" w:hAnsi="宋体" w:eastAsia="宋体"/>
        <w:sz w:val="28"/>
      </w:rPr>
      <w:fldChar w:fldCharType="separate"/>
    </w:r>
    <w:r>
      <w:rPr>
        <w:rStyle w:val="9"/>
        <w:rFonts w:ascii="宋体" w:hAnsi="宋体" w:eastAsia="宋体"/>
        <w:sz w:val="28"/>
      </w:rPr>
      <w:t>- 1 -</w:t>
    </w:r>
    <w:r>
      <w:rPr>
        <w:rStyle w:val="9"/>
        <w:rFonts w:ascii="宋体" w:hAnsi="宋体" w:eastAsia="宋体"/>
        <w:sz w:val="28"/>
      </w:rPr>
      <w:fldChar w:fldCharType="end"/>
    </w:r>
    <w:r>
      <w:rPr>
        <w:rStyle w:val="9"/>
        <w:rFonts w:hint="eastAsia" w:ascii="宋体" w:hAnsi="宋体" w:eastAsia="宋体"/>
        <w:sz w:val="28"/>
      </w:rPr>
      <w:t xml:space="preserve"> </w:t>
    </w:r>
  </w:p>
  <w:p>
    <w:pPr>
      <w:pStyle w:val="4"/>
      <w:ind w:right="360"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1756" w:y="37"/>
      <w:rPr>
        <w:rStyle w:val="9"/>
        <w:rFonts w:ascii="宋体" w:hAnsi="宋体" w:eastAsia="宋体"/>
        <w:sz w:val="28"/>
        <w:szCs w:val="28"/>
      </w:rPr>
    </w:pPr>
    <w:r>
      <w:rPr>
        <w:rStyle w:val="9"/>
        <w:rFonts w:ascii="宋体" w:hAnsi="宋体" w:eastAsia="宋体"/>
        <w:sz w:val="28"/>
        <w:szCs w:val="28"/>
      </w:rPr>
      <w:fldChar w:fldCharType="begin"/>
    </w:r>
    <w:r>
      <w:rPr>
        <w:rStyle w:val="9"/>
        <w:rFonts w:ascii="宋体" w:hAnsi="宋体" w:eastAsia="宋体"/>
        <w:sz w:val="28"/>
        <w:szCs w:val="28"/>
      </w:rPr>
      <w:instrText xml:space="preserve">PAGE  </w:instrText>
    </w:r>
    <w:r>
      <w:rPr>
        <w:rStyle w:val="9"/>
        <w:rFonts w:ascii="宋体" w:hAnsi="宋体" w:eastAsia="宋体"/>
        <w:sz w:val="28"/>
        <w:szCs w:val="28"/>
      </w:rPr>
      <w:fldChar w:fldCharType="separate"/>
    </w:r>
    <w:r>
      <w:rPr>
        <w:rStyle w:val="9"/>
        <w:rFonts w:ascii="宋体" w:hAnsi="宋体" w:eastAsia="宋体"/>
        <w:sz w:val="28"/>
        <w:szCs w:val="28"/>
      </w:rPr>
      <w:t>- 12 -</w:t>
    </w:r>
    <w:r>
      <w:rPr>
        <w:rStyle w:val="9"/>
        <w:rFonts w:ascii="宋体" w:hAnsi="宋体" w:eastAsia="宋体"/>
        <w:sz w:val="28"/>
        <w:szCs w:val="28"/>
      </w:rPr>
      <w:fldChar w:fldCharType="end"/>
    </w:r>
  </w:p>
  <w:p>
    <w:pPr>
      <w:pStyle w:val="4"/>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43568"/>
    <w:rsid w:val="00000A75"/>
    <w:rsid w:val="00003BF7"/>
    <w:rsid w:val="00005719"/>
    <w:rsid w:val="00007F37"/>
    <w:rsid w:val="00010976"/>
    <w:rsid w:val="0002118A"/>
    <w:rsid w:val="00021887"/>
    <w:rsid w:val="00022242"/>
    <w:rsid w:val="00040E57"/>
    <w:rsid w:val="00044097"/>
    <w:rsid w:val="00050E1F"/>
    <w:rsid w:val="00054305"/>
    <w:rsid w:val="00060E28"/>
    <w:rsid w:val="000635BD"/>
    <w:rsid w:val="00065838"/>
    <w:rsid w:val="00080DEB"/>
    <w:rsid w:val="00083BBE"/>
    <w:rsid w:val="00083EBE"/>
    <w:rsid w:val="00091B9F"/>
    <w:rsid w:val="000A2EE8"/>
    <w:rsid w:val="000A497E"/>
    <w:rsid w:val="000A7773"/>
    <w:rsid w:val="000B08C5"/>
    <w:rsid w:val="000B206D"/>
    <w:rsid w:val="000B2C8D"/>
    <w:rsid w:val="000B6AD4"/>
    <w:rsid w:val="000B6C14"/>
    <w:rsid w:val="000B7C75"/>
    <w:rsid w:val="000C1474"/>
    <w:rsid w:val="000C7811"/>
    <w:rsid w:val="000D21F9"/>
    <w:rsid w:val="000E0AB3"/>
    <w:rsid w:val="000E21E6"/>
    <w:rsid w:val="000E65F1"/>
    <w:rsid w:val="000E73E7"/>
    <w:rsid w:val="000E75AE"/>
    <w:rsid w:val="0010072E"/>
    <w:rsid w:val="00101D4F"/>
    <w:rsid w:val="0010481F"/>
    <w:rsid w:val="001128DE"/>
    <w:rsid w:val="00113241"/>
    <w:rsid w:val="0012066C"/>
    <w:rsid w:val="00123283"/>
    <w:rsid w:val="00124713"/>
    <w:rsid w:val="00124A31"/>
    <w:rsid w:val="00124B40"/>
    <w:rsid w:val="00133488"/>
    <w:rsid w:val="00133516"/>
    <w:rsid w:val="00137B91"/>
    <w:rsid w:val="00142400"/>
    <w:rsid w:val="00150BEF"/>
    <w:rsid w:val="00151A95"/>
    <w:rsid w:val="00157F86"/>
    <w:rsid w:val="00164EBC"/>
    <w:rsid w:val="001669CC"/>
    <w:rsid w:val="00166DAB"/>
    <w:rsid w:val="00166E4B"/>
    <w:rsid w:val="00167DB8"/>
    <w:rsid w:val="00170C1A"/>
    <w:rsid w:val="00171B68"/>
    <w:rsid w:val="00173DD7"/>
    <w:rsid w:val="00177527"/>
    <w:rsid w:val="00184AA3"/>
    <w:rsid w:val="00194099"/>
    <w:rsid w:val="001951FF"/>
    <w:rsid w:val="001A10E6"/>
    <w:rsid w:val="001A135B"/>
    <w:rsid w:val="001A1FDB"/>
    <w:rsid w:val="001A2A1A"/>
    <w:rsid w:val="001B3A06"/>
    <w:rsid w:val="001B5DF3"/>
    <w:rsid w:val="001C26F2"/>
    <w:rsid w:val="001C38EB"/>
    <w:rsid w:val="001C79E0"/>
    <w:rsid w:val="001D640A"/>
    <w:rsid w:val="001D65CB"/>
    <w:rsid w:val="001E197A"/>
    <w:rsid w:val="001E2962"/>
    <w:rsid w:val="001F0E21"/>
    <w:rsid w:val="001F2FE9"/>
    <w:rsid w:val="001F3267"/>
    <w:rsid w:val="001F6948"/>
    <w:rsid w:val="0020033F"/>
    <w:rsid w:val="00200C57"/>
    <w:rsid w:val="00207AD5"/>
    <w:rsid w:val="0021204D"/>
    <w:rsid w:val="002127E3"/>
    <w:rsid w:val="002146E7"/>
    <w:rsid w:val="00216FD0"/>
    <w:rsid w:val="00226DF0"/>
    <w:rsid w:val="00231C2E"/>
    <w:rsid w:val="00241293"/>
    <w:rsid w:val="00245135"/>
    <w:rsid w:val="002453A6"/>
    <w:rsid w:val="00247520"/>
    <w:rsid w:val="00251FC8"/>
    <w:rsid w:val="00256471"/>
    <w:rsid w:val="00257943"/>
    <w:rsid w:val="002608FE"/>
    <w:rsid w:val="00271D59"/>
    <w:rsid w:val="0027418F"/>
    <w:rsid w:val="00282470"/>
    <w:rsid w:val="00295B34"/>
    <w:rsid w:val="0029700A"/>
    <w:rsid w:val="002A7E48"/>
    <w:rsid w:val="002B1DA2"/>
    <w:rsid w:val="002B557B"/>
    <w:rsid w:val="002B5D8E"/>
    <w:rsid w:val="002C0FB9"/>
    <w:rsid w:val="002C4530"/>
    <w:rsid w:val="002D2B8C"/>
    <w:rsid w:val="002D34C1"/>
    <w:rsid w:val="002D76FA"/>
    <w:rsid w:val="002E189D"/>
    <w:rsid w:val="002E18D1"/>
    <w:rsid w:val="002E1B0E"/>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647C"/>
    <w:rsid w:val="00326734"/>
    <w:rsid w:val="0033566D"/>
    <w:rsid w:val="003441F7"/>
    <w:rsid w:val="00344D62"/>
    <w:rsid w:val="00345984"/>
    <w:rsid w:val="00361388"/>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C5A61"/>
    <w:rsid w:val="003D124B"/>
    <w:rsid w:val="003D161B"/>
    <w:rsid w:val="003D3AA4"/>
    <w:rsid w:val="003E4A05"/>
    <w:rsid w:val="003E5F5C"/>
    <w:rsid w:val="003E7D9E"/>
    <w:rsid w:val="003F37E0"/>
    <w:rsid w:val="00401A23"/>
    <w:rsid w:val="00401CA2"/>
    <w:rsid w:val="00405E6D"/>
    <w:rsid w:val="00411C55"/>
    <w:rsid w:val="00415648"/>
    <w:rsid w:val="00415BCE"/>
    <w:rsid w:val="0042015D"/>
    <w:rsid w:val="0042215C"/>
    <w:rsid w:val="00425950"/>
    <w:rsid w:val="00430B78"/>
    <w:rsid w:val="00441209"/>
    <w:rsid w:val="00443568"/>
    <w:rsid w:val="00444981"/>
    <w:rsid w:val="0045026B"/>
    <w:rsid w:val="004558AB"/>
    <w:rsid w:val="00457729"/>
    <w:rsid w:val="0047598D"/>
    <w:rsid w:val="004802CE"/>
    <w:rsid w:val="00486DB6"/>
    <w:rsid w:val="00487D16"/>
    <w:rsid w:val="004957F5"/>
    <w:rsid w:val="004976A5"/>
    <w:rsid w:val="004A0034"/>
    <w:rsid w:val="004A02D4"/>
    <w:rsid w:val="004A0690"/>
    <w:rsid w:val="004A2CA4"/>
    <w:rsid w:val="004A7A7B"/>
    <w:rsid w:val="004B401D"/>
    <w:rsid w:val="004B58A1"/>
    <w:rsid w:val="004B7BB8"/>
    <w:rsid w:val="004C351C"/>
    <w:rsid w:val="004C5BB4"/>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23B8A"/>
    <w:rsid w:val="00532585"/>
    <w:rsid w:val="00533FA0"/>
    <w:rsid w:val="0054006F"/>
    <w:rsid w:val="00540C10"/>
    <w:rsid w:val="005464FA"/>
    <w:rsid w:val="00560650"/>
    <w:rsid w:val="00567FB5"/>
    <w:rsid w:val="005770C3"/>
    <w:rsid w:val="00577753"/>
    <w:rsid w:val="00581AD2"/>
    <w:rsid w:val="005857A0"/>
    <w:rsid w:val="00592D42"/>
    <w:rsid w:val="005A5B02"/>
    <w:rsid w:val="005B3245"/>
    <w:rsid w:val="005B6754"/>
    <w:rsid w:val="005B75C0"/>
    <w:rsid w:val="005C3143"/>
    <w:rsid w:val="005D311B"/>
    <w:rsid w:val="005D61D8"/>
    <w:rsid w:val="005E3B86"/>
    <w:rsid w:val="005E4E6B"/>
    <w:rsid w:val="005E6995"/>
    <w:rsid w:val="005E7C64"/>
    <w:rsid w:val="005F2A5A"/>
    <w:rsid w:val="005F2AEA"/>
    <w:rsid w:val="005F4FFE"/>
    <w:rsid w:val="00602C6F"/>
    <w:rsid w:val="00604ECA"/>
    <w:rsid w:val="006069FD"/>
    <w:rsid w:val="00610EE1"/>
    <w:rsid w:val="0061632B"/>
    <w:rsid w:val="006168AD"/>
    <w:rsid w:val="00621929"/>
    <w:rsid w:val="0062266C"/>
    <w:rsid w:val="006250CB"/>
    <w:rsid w:val="00627F36"/>
    <w:rsid w:val="006304D1"/>
    <w:rsid w:val="00631DA8"/>
    <w:rsid w:val="0063431E"/>
    <w:rsid w:val="00645C30"/>
    <w:rsid w:val="0065497B"/>
    <w:rsid w:val="00654E41"/>
    <w:rsid w:val="0067149A"/>
    <w:rsid w:val="0069278A"/>
    <w:rsid w:val="006A1C84"/>
    <w:rsid w:val="006A745B"/>
    <w:rsid w:val="006A78F4"/>
    <w:rsid w:val="006B0F85"/>
    <w:rsid w:val="006B4B06"/>
    <w:rsid w:val="006B4D0D"/>
    <w:rsid w:val="006B60E5"/>
    <w:rsid w:val="006B636C"/>
    <w:rsid w:val="006C1DED"/>
    <w:rsid w:val="006C3692"/>
    <w:rsid w:val="006D0B78"/>
    <w:rsid w:val="006D45B7"/>
    <w:rsid w:val="006D62B0"/>
    <w:rsid w:val="006F14EB"/>
    <w:rsid w:val="006F5BD8"/>
    <w:rsid w:val="007015B6"/>
    <w:rsid w:val="00701EC2"/>
    <w:rsid w:val="007021BE"/>
    <w:rsid w:val="00706C32"/>
    <w:rsid w:val="007106B4"/>
    <w:rsid w:val="007214A9"/>
    <w:rsid w:val="007214DF"/>
    <w:rsid w:val="007220B1"/>
    <w:rsid w:val="007302C1"/>
    <w:rsid w:val="0073120F"/>
    <w:rsid w:val="007314F0"/>
    <w:rsid w:val="0074240E"/>
    <w:rsid w:val="00742FA1"/>
    <w:rsid w:val="007476BA"/>
    <w:rsid w:val="00750798"/>
    <w:rsid w:val="00752BCF"/>
    <w:rsid w:val="0076538D"/>
    <w:rsid w:val="007714E5"/>
    <w:rsid w:val="00773D5E"/>
    <w:rsid w:val="00776FAF"/>
    <w:rsid w:val="00777229"/>
    <w:rsid w:val="007775E8"/>
    <w:rsid w:val="0078072D"/>
    <w:rsid w:val="00795099"/>
    <w:rsid w:val="00796088"/>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F27ED"/>
    <w:rsid w:val="008043B9"/>
    <w:rsid w:val="0080628E"/>
    <w:rsid w:val="00807ACF"/>
    <w:rsid w:val="00821E76"/>
    <w:rsid w:val="008259BC"/>
    <w:rsid w:val="0083105A"/>
    <w:rsid w:val="00837040"/>
    <w:rsid w:val="008427AB"/>
    <w:rsid w:val="00847DCE"/>
    <w:rsid w:val="0085023C"/>
    <w:rsid w:val="00853966"/>
    <w:rsid w:val="00857827"/>
    <w:rsid w:val="00866A6C"/>
    <w:rsid w:val="008969FE"/>
    <w:rsid w:val="008A237C"/>
    <w:rsid w:val="008A2D2C"/>
    <w:rsid w:val="008A3633"/>
    <w:rsid w:val="008B2514"/>
    <w:rsid w:val="008B4607"/>
    <w:rsid w:val="008B5C78"/>
    <w:rsid w:val="008C030F"/>
    <w:rsid w:val="008C3836"/>
    <w:rsid w:val="008E28BD"/>
    <w:rsid w:val="008E4EAC"/>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40134"/>
    <w:rsid w:val="00943A3E"/>
    <w:rsid w:val="00944CCC"/>
    <w:rsid w:val="00945E7F"/>
    <w:rsid w:val="00947403"/>
    <w:rsid w:val="0095057C"/>
    <w:rsid w:val="009543BA"/>
    <w:rsid w:val="00954FB4"/>
    <w:rsid w:val="00960925"/>
    <w:rsid w:val="00970AB3"/>
    <w:rsid w:val="00982C13"/>
    <w:rsid w:val="00985DF4"/>
    <w:rsid w:val="00987E45"/>
    <w:rsid w:val="0099241E"/>
    <w:rsid w:val="009942F3"/>
    <w:rsid w:val="00994950"/>
    <w:rsid w:val="0099652B"/>
    <w:rsid w:val="009A0831"/>
    <w:rsid w:val="009A44FB"/>
    <w:rsid w:val="009A5CDE"/>
    <w:rsid w:val="009B3F92"/>
    <w:rsid w:val="009C3CE9"/>
    <w:rsid w:val="009C6A82"/>
    <w:rsid w:val="009D15D2"/>
    <w:rsid w:val="009D592F"/>
    <w:rsid w:val="009D641F"/>
    <w:rsid w:val="009E49B5"/>
    <w:rsid w:val="009E711C"/>
    <w:rsid w:val="009F06B8"/>
    <w:rsid w:val="00A0017F"/>
    <w:rsid w:val="00A037A6"/>
    <w:rsid w:val="00A11A5F"/>
    <w:rsid w:val="00A11F40"/>
    <w:rsid w:val="00A13D3F"/>
    <w:rsid w:val="00A273DB"/>
    <w:rsid w:val="00A3080D"/>
    <w:rsid w:val="00A30EB7"/>
    <w:rsid w:val="00A31D7F"/>
    <w:rsid w:val="00A338C6"/>
    <w:rsid w:val="00A408E3"/>
    <w:rsid w:val="00A425CE"/>
    <w:rsid w:val="00A44660"/>
    <w:rsid w:val="00A55F77"/>
    <w:rsid w:val="00A72457"/>
    <w:rsid w:val="00A86966"/>
    <w:rsid w:val="00A872D8"/>
    <w:rsid w:val="00A912CC"/>
    <w:rsid w:val="00A970D1"/>
    <w:rsid w:val="00AA57AE"/>
    <w:rsid w:val="00AB0AFB"/>
    <w:rsid w:val="00AC002C"/>
    <w:rsid w:val="00AC1DD9"/>
    <w:rsid w:val="00AC4218"/>
    <w:rsid w:val="00AD3489"/>
    <w:rsid w:val="00AD3E2D"/>
    <w:rsid w:val="00AD51DD"/>
    <w:rsid w:val="00AE5C1B"/>
    <w:rsid w:val="00AE79D8"/>
    <w:rsid w:val="00AE7BAC"/>
    <w:rsid w:val="00AF09FB"/>
    <w:rsid w:val="00B00C16"/>
    <w:rsid w:val="00B03B3E"/>
    <w:rsid w:val="00B046A4"/>
    <w:rsid w:val="00B06382"/>
    <w:rsid w:val="00B0733F"/>
    <w:rsid w:val="00B10701"/>
    <w:rsid w:val="00B146E7"/>
    <w:rsid w:val="00B30B86"/>
    <w:rsid w:val="00B32A4F"/>
    <w:rsid w:val="00B358E2"/>
    <w:rsid w:val="00B40CB6"/>
    <w:rsid w:val="00B50AD6"/>
    <w:rsid w:val="00B51AB3"/>
    <w:rsid w:val="00B5337C"/>
    <w:rsid w:val="00B5340F"/>
    <w:rsid w:val="00B611F7"/>
    <w:rsid w:val="00B622F8"/>
    <w:rsid w:val="00B6765D"/>
    <w:rsid w:val="00B717C5"/>
    <w:rsid w:val="00B75463"/>
    <w:rsid w:val="00B90F21"/>
    <w:rsid w:val="00B93445"/>
    <w:rsid w:val="00B94F7E"/>
    <w:rsid w:val="00B95F83"/>
    <w:rsid w:val="00B965C5"/>
    <w:rsid w:val="00B96E34"/>
    <w:rsid w:val="00B9729A"/>
    <w:rsid w:val="00BB0177"/>
    <w:rsid w:val="00BB3A31"/>
    <w:rsid w:val="00BC2D65"/>
    <w:rsid w:val="00BD1F2C"/>
    <w:rsid w:val="00BD2BBE"/>
    <w:rsid w:val="00BD7EF8"/>
    <w:rsid w:val="00BE0FEE"/>
    <w:rsid w:val="00BE4817"/>
    <w:rsid w:val="00BE721C"/>
    <w:rsid w:val="00BF0DC7"/>
    <w:rsid w:val="00BF1F54"/>
    <w:rsid w:val="00C04782"/>
    <w:rsid w:val="00C04F2D"/>
    <w:rsid w:val="00C238F0"/>
    <w:rsid w:val="00C25CC6"/>
    <w:rsid w:val="00C31297"/>
    <w:rsid w:val="00C61A9B"/>
    <w:rsid w:val="00C732F1"/>
    <w:rsid w:val="00C8565C"/>
    <w:rsid w:val="00C92227"/>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7FED"/>
    <w:rsid w:val="00D1171B"/>
    <w:rsid w:val="00D1499A"/>
    <w:rsid w:val="00D16172"/>
    <w:rsid w:val="00D20653"/>
    <w:rsid w:val="00D25C67"/>
    <w:rsid w:val="00D30DDB"/>
    <w:rsid w:val="00D334A9"/>
    <w:rsid w:val="00D36199"/>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C19E1"/>
    <w:rsid w:val="00DC25CF"/>
    <w:rsid w:val="00DC65F7"/>
    <w:rsid w:val="00DF32E5"/>
    <w:rsid w:val="00DF3EFD"/>
    <w:rsid w:val="00E07FDF"/>
    <w:rsid w:val="00E14EDE"/>
    <w:rsid w:val="00E242B2"/>
    <w:rsid w:val="00E31696"/>
    <w:rsid w:val="00E33E4C"/>
    <w:rsid w:val="00E44960"/>
    <w:rsid w:val="00E52F6A"/>
    <w:rsid w:val="00E545C9"/>
    <w:rsid w:val="00E55774"/>
    <w:rsid w:val="00E56018"/>
    <w:rsid w:val="00E64B7B"/>
    <w:rsid w:val="00E66654"/>
    <w:rsid w:val="00E74817"/>
    <w:rsid w:val="00E75B6D"/>
    <w:rsid w:val="00E76C2B"/>
    <w:rsid w:val="00E8294F"/>
    <w:rsid w:val="00E870C3"/>
    <w:rsid w:val="00E8738A"/>
    <w:rsid w:val="00E916E5"/>
    <w:rsid w:val="00E92F11"/>
    <w:rsid w:val="00E95399"/>
    <w:rsid w:val="00E95FBD"/>
    <w:rsid w:val="00E9654C"/>
    <w:rsid w:val="00EA1A1C"/>
    <w:rsid w:val="00EA36D3"/>
    <w:rsid w:val="00EB1C85"/>
    <w:rsid w:val="00EB22F0"/>
    <w:rsid w:val="00EB380F"/>
    <w:rsid w:val="00EB3823"/>
    <w:rsid w:val="00EC5A7D"/>
    <w:rsid w:val="00EC7099"/>
    <w:rsid w:val="00ED5E90"/>
    <w:rsid w:val="00ED60E2"/>
    <w:rsid w:val="00EE0A13"/>
    <w:rsid w:val="00EE2897"/>
    <w:rsid w:val="00EF31D5"/>
    <w:rsid w:val="00EF7FDA"/>
    <w:rsid w:val="00F01612"/>
    <w:rsid w:val="00F04B17"/>
    <w:rsid w:val="00F113F4"/>
    <w:rsid w:val="00F13479"/>
    <w:rsid w:val="00F14CE8"/>
    <w:rsid w:val="00F1625A"/>
    <w:rsid w:val="00F17C93"/>
    <w:rsid w:val="00F50BA2"/>
    <w:rsid w:val="00F5664D"/>
    <w:rsid w:val="00F6771B"/>
    <w:rsid w:val="00F703C3"/>
    <w:rsid w:val="00F80799"/>
    <w:rsid w:val="00F81776"/>
    <w:rsid w:val="00F835AD"/>
    <w:rsid w:val="00F844FD"/>
    <w:rsid w:val="00F869A3"/>
    <w:rsid w:val="00F86FB3"/>
    <w:rsid w:val="00F97BF1"/>
    <w:rsid w:val="00FA29D8"/>
    <w:rsid w:val="00FA5F5D"/>
    <w:rsid w:val="00FB0BA6"/>
    <w:rsid w:val="00FC29A0"/>
    <w:rsid w:val="00FC6C17"/>
    <w:rsid w:val="00FE48DB"/>
    <w:rsid w:val="00FF3620"/>
    <w:rsid w:val="00FF3A84"/>
    <w:rsid w:val="01110239"/>
    <w:rsid w:val="028847F9"/>
    <w:rsid w:val="03AA79F6"/>
    <w:rsid w:val="03D252C7"/>
    <w:rsid w:val="04741FE5"/>
    <w:rsid w:val="04DB02C7"/>
    <w:rsid w:val="06B856EE"/>
    <w:rsid w:val="07FE5938"/>
    <w:rsid w:val="084604BC"/>
    <w:rsid w:val="08883825"/>
    <w:rsid w:val="09725983"/>
    <w:rsid w:val="0A382BB5"/>
    <w:rsid w:val="0AA4543A"/>
    <w:rsid w:val="0BE61132"/>
    <w:rsid w:val="0C9B0DD6"/>
    <w:rsid w:val="0CE4791C"/>
    <w:rsid w:val="0E063C64"/>
    <w:rsid w:val="0F4C7B96"/>
    <w:rsid w:val="0FFB575E"/>
    <w:rsid w:val="10845F1B"/>
    <w:rsid w:val="11463A00"/>
    <w:rsid w:val="11600918"/>
    <w:rsid w:val="11B0398F"/>
    <w:rsid w:val="13B960C5"/>
    <w:rsid w:val="152777F4"/>
    <w:rsid w:val="15C674B6"/>
    <w:rsid w:val="18D54A0D"/>
    <w:rsid w:val="19714192"/>
    <w:rsid w:val="1A4106A0"/>
    <w:rsid w:val="1A4F5437"/>
    <w:rsid w:val="1AB77CD0"/>
    <w:rsid w:val="1E807156"/>
    <w:rsid w:val="1EA657F6"/>
    <w:rsid w:val="1F097CB6"/>
    <w:rsid w:val="2166156B"/>
    <w:rsid w:val="21B02D83"/>
    <w:rsid w:val="22A236F5"/>
    <w:rsid w:val="23995975"/>
    <w:rsid w:val="2432220E"/>
    <w:rsid w:val="248303BA"/>
    <w:rsid w:val="24837E47"/>
    <w:rsid w:val="252E01AA"/>
    <w:rsid w:val="2680023E"/>
    <w:rsid w:val="26F706CA"/>
    <w:rsid w:val="29680352"/>
    <w:rsid w:val="2A020F75"/>
    <w:rsid w:val="2ACE52BB"/>
    <w:rsid w:val="2B007AEE"/>
    <w:rsid w:val="2BC14C56"/>
    <w:rsid w:val="2C1B026F"/>
    <w:rsid w:val="2CC61F55"/>
    <w:rsid w:val="2EF7452F"/>
    <w:rsid w:val="2F1D13B4"/>
    <w:rsid w:val="2FAA3DA6"/>
    <w:rsid w:val="30682E1F"/>
    <w:rsid w:val="30E210D2"/>
    <w:rsid w:val="311371D6"/>
    <w:rsid w:val="31EB64C9"/>
    <w:rsid w:val="336D0D6F"/>
    <w:rsid w:val="352E4BEC"/>
    <w:rsid w:val="37DD5594"/>
    <w:rsid w:val="38F24FA8"/>
    <w:rsid w:val="3A98342A"/>
    <w:rsid w:val="3AB6780E"/>
    <w:rsid w:val="3AD56D70"/>
    <w:rsid w:val="3B2920C2"/>
    <w:rsid w:val="3BE41ABD"/>
    <w:rsid w:val="3C5421A9"/>
    <w:rsid w:val="3D903B21"/>
    <w:rsid w:val="3EB754F9"/>
    <w:rsid w:val="3F440741"/>
    <w:rsid w:val="41FC306C"/>
    <w:rsid w:val="44BE5554"/>
    <w:rsid w:val="451E0908"/>
    <w:rsid w:val="452C2D31"/>
    <w:rsid w:val="45652327"/>
    <w:rsid w:val="45D26E14"/>
    <w:rsid w:val="46A541B1"/>
    <w:rsid w:val="470A2223"/>
    <w:rsid w:val="48C57772"/>
    <w:rsid w:val="49782886"/>
    <w:rsid w:val="498254DB"/>
    <w:rsid w:val="4A6F0D28"/>
    <w:rsid w:val="4AAF085C"/>
    <w:rsid w:val="4AEB7E60"/>
    <w:rsid w:val="4B4B135B"/>
    <w:rsid w:val="4BC7055F"/>
    <w:rsid w:val="4CFC7DB2"/>
    <w:rsid w:val="4D470FBD"/>
    <w:rsid w:val="4E7C187D"/>
    <w:rsid w:val="4F561A48"/>
    <w:rsid w:val="508941AD"/>
    <w:rsid w:val="50E65530"/>
    <w:rsid w:val="51457139"/>
    <w:rsid w:val="51574DBD"/>
    <w:rsid w:val="51EC1DA8"/>
    <w:rsid w:val="52FC5524"/>
    <w:rsid w:val="532D7A17"/>
    <w:rsid w:val="54AF4562"/>
    <w:rsid w:val="54C9674B"/>
    <w:rsid w:val="556318EA"/>
    <w:rsid w:val="55A60AA1"/>
    <w:rsid w:val="56451615"/>
    <w:rsid w:val="57FC5774"/>
    <w:rsid w:val="59B332C9"/>
    <w:rsid w:val="5A44758A"/>
    <w:rsid w:val="5BEC4BB3"/>
    <w:rsid w:val="5C070B55"/>
    <w:rsid w:val="5CB96DCE"/>
    <w:rsid w:val="5CE61580"/>
    <w:rsid w:val="5D175666"/>
    <w:rsid w:val="5D556A3C"/>
    <w:rsid w:val="5D7B25C9"/>
    <w:rsid w:val="5ECB44B4"/>
    <w:rsid w:val="5EE2043C"/>
    <w:rsid w:val="602D2E37"/>
    <w:rsid w:val="61460FBE"/>
    <w:rsid w:val="62775810"/>
    <w:rsid w:val="62D83744"/>
    <w:rsid w:val="630F4048"/>
    <w:rsid w:val="63AA02E5"/>
    <w:rsid w:val="64700DE9"/>
    <w:rsid w:val="65C613BD"/>
    <w:rsid w:val="65FD118C"/>
    <w:rsid w:val="66612BC0"/>
    <w:rsid w:val="682C3D89"/>
    <w:rsid w:val="68611305"/>
    <w:rsid w:val="6A162DE0"/>
    <w:rsid w:val="6A331428"/>
    <w:rsid w:val="6B1A7CFC"/>
    <w:rsid w:val="6B2E5CB6"/>
    <w:rsid w:val="6B3D4886"/>
    <w:rsid w:val="6DF8675E"/>
    <w:rsid w:val="6E045ECB"/>
    <w:rsid w:val="6EA80098"/>
    <w:rsid w:val="6F8D70FF"/>
    <w:rsid w:val="6FFE5011"/>
    <w:rsid w:val="7178734D"/>
    <w:rsid w:val="71791096"/>
    <w:rsid w:val="717B0C34"/>
    <w:rsid w:val="71FB78FD"/>
    <w:rsid w:val="7275064A"/>
    <w:rsid w:val="733F750B"/>
    <w:rsid w:val="735702E2"/>
    <w:rsid w:val="765F635A"/>
    <w:rsid w:val="76B73454"/>
    <w:rsid w:val="76D254BD"/>
    <w:rsid w:val="77727ACD"/>
    <w:rsid w:val="78071142"/>
    <w:rsid w:val="79296B37"/>
    <w:rsid w:val="7A4C4C40"/>
    <w:rsid w:val="7AA0518E"/>
    <w:rsid w:val="7B041636"/>
    <w:rsid w:val="7CA86749"/>
    <w:rsid w:val="7EC92370"/>
    <w:rsid w:val="7F2238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2"/>
    <w:semiHidden/>
    <w:unhideWhenUsed/>
    <w:qFormat/>
    <w:uiPriority w:val="99"/>
    <w:pPr>
      <w:jc w:val="left"/>
    </w:pPr>
  </w:style>
  <w:style w:type="paragraph" w:styleId="3">
    <w:name w:val="Balloon Text"/>
    <w:basedOn w:val="1"/>
    <w:link w:val="14"/>
    <w:semiHidden/>
    <w:unhideWhenUsed/>
    <w:qFormat/>
    <w:uiPriority w:val="99"/>
    <w:rPr>
      <w:sz w:val="18"/>
      <w:szCs w:val="18"/>
    </w:rPr>
  </w:style>
  <w:style w:type="paragraph" w:styleId="4">
    <w:name w:val="footer"/>
    <w:basedOn w:val="1"/>
    <w:link w:val="11"/>
    <w:qFormat/>
    <w:uiPriority w:val="0"/>
    <w:pPr>
      <w:tabs>
        <w:tab w:val="center" w:pos="4153"/>
        <w:tab w:val="right" w:pos="8306"/>
      </w:tabs>
      <w:snapToGrid w:val="0"/>
      <w:jc w:val="left"/>
    </w:pPr>
    <w:rPr>
      <w:rFonts w:eastAsia="黑体"/>
      <w:snapToGrid w:val="0"/>
      <w:kern w:val="0"/>
      <w:sz w:val="18"/>
      <w:szCs w:val="18"/>
    </w:rPr>
  </w:style>
  <w:style w:type="paragraph" w:styleId="5">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3"/>
    <w:semiHidden/>
    <w:unhideWhenUsed/>
    <w:qFormat/>
    <w:uiPriority w:val="99"/>
    <w:rPr>
      <w:b/>
      <w:bCs/>
    </w:rPr>
  </w:style>
  <w:style w:type="character" w:styleId="9">
    <w:name w:val="page number"/>
    <w:basedOn w:val="8"/>
    <w:qFormat/>
    <w:uiPriority w:val="0"/>
  </w:style>
  <w:style w:type="character" w:styleId="10">
    <w:name w:val="annotation reference"/>
    <w:basedOn w:val="8"/>
    <w:semiHidden/>
    <w:unhideWhenUsed/>
    <w:qFormat/>
    <w:uiPriority w:val="99"/>
    <w:rPr>
      <w:sz w:val="21"/>
      <w:szCs w:val="21"/>
    </w:rPr>
  </w:style>
  <w:style w:type="character" w:customStyle="1" w:styleId="11">
    <w:name w:val="页脚 Char"/>
    <w:basedOn w:val="8"/>
    <w:link w:val="4"/>
    <w:qFormat/>
    <w:uiPriority w:val="0"/>
    <w:rPr>
      <w:rFonts w:ascii="Times New Roman" w:hAnsi="Times New Roman" w:eastAsia="黑体" w:cs="Times New Roman"/>
      <w:snapToGrid w:val="0"/>
      <w:kern w:val="0"/>
      <w:sz w:val="18"/>
      <w:szCs w:val="18"/>
    </w:rPr>
  </w:style>
  <w:style w:type="character" w:customStyle="1" w:styleId="12">
    <w:name w:val="批注文字 Char"/>
    <w:basedOn w:val="8"/>
    <w:link w:val="2"/>
    <w:semiHidden/>
    <w:qFormat/>
    <w:uiPriority w:val="99"/>
    <w:rPr>
      <w:rFonts w:ascii="Times New Roman" w:hAnsi="Times New Roman" w:eastAsia="宋体" w:cs="Times New Roman"/>
      <w:szCs w:val="24"/>
    </w:rPr>
  </w:style>
  <w:style w:type="character" w:customStyle="1" w:styleId="13">
    <w:name w:val="批注主题 Char"/>
    <w:basedOn w:val="12"/>
    <w:link w:val="6"/>
    <w:semiHidden/>
    <w:qFormat/>
    <w:uiPriority w:val="99"/>
    <w:rPr>
      <w:rFonts w:ascii="Times New Roman" w:hAnsi="Times New Roman" w:eastAsia="宋体" w:cs="Times New Roman"/>
      <w:b/>
      <w:bCs/>
      <w:szCs w:val="24"/>
    </w:rPr>
  </w:style>
  <w:style w:type="character" w:customStyle="1" w:styleId="14">
    <w:name w:val="批注框文本 Char"/>
    <w:basedOn w:val="8"/>
    <w:link w:val="3"/>
    <w:semiHidden/>
    <w:qFormat/>
    <w:uiPriority w:val="99"/>
    <w:rPr>
      <w:rFonts w:ascii="Times New Roman" w:hAnsi="Times New Roman" w:eastAsia="宋体" w:cs="Times New Roman"/>
      <w:sz w:val="18"/>
      <w:szCs w:val="18"/>
    </w:rPr>
  </w:style>
  <w:style w:type="character" w:customStyle="1" w:styleId="15">
    <w:name w:val="页眉 Char"/>
    <w:basedOn w:val="8"/>
    <w:link w:val="5"/>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1150</Words>
  <Characters>6561</Characters>
  <Lines>54</Lines>
  <Paragraphs>15</Paragraphs>
  <TotalTime>3</TotalTime>
  <ScaleCrop>false</ScaleCrop>
  <LinksUpToDate>false</LinksUpToDate>
  <CharactersWithSpaces>7696</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2019-05-30T09:42:00Z</dcterms:created>
  <dc:creator>Administrator</dc:creator>
  <cp:lastModifiedBy>辰</cp:lastModifiedBy>
  <dcterms:modified xsi:type="dcterms:W3CDTF">2021-07-13T13:50:22Z</dcterms:modified>
  <cp:revision>811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A4D9E9C3AD944AB7AA9E77F38303C5A2</vt:lpwstr>
  </property>
</Properties>
</file>